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3891" w:rsidRDefault="008E4157" w:rsidP="008E4157">
      <w:pPr>
        <w:jc w:val="center"/>
        <w:rPr>
          <w:rFonts w:cs="Arial"/>
          <w:b/>
          <w:sz w:val="32"/>
          <w:szCs w:val="32"/>
        </w:rPr>
      </w:pPr>
      <w:r>
        <w:rPr>
          <w:rFonts w:cs="Arial"/>
          <w:b/>
          <w:sz w:val="32"/>
          <w:szCs w:val="32"/>
        </w:rPr>
        <w:t xml:space="preserve">KINGDOM COME: THE WHEN AND HOW </w:t>
      </w:r>
    </w:p>
    <w:p w:rsidR="008E4157" w:rsidRPr="001220EB" w:rsidRDefault="008E4157" w:rsidP="008E4157">
      <w:pPr>
        <w:jc w:val="center"/>
        <w:rPr>
          <w:rFonts w:cs="Arial"/>
          <w:b/>
          <w:sz w:val="32"/>
          <w:szCs w:val="32"/>
        </w:rPr>
      </w:pPr>
      <w:r>
        <w:rPr>
          <w:rFonts w:cs="Arial"/>
          <w:b/>
          <w:sz w:val="32"/>
          <w:szCs w:val="32"/>
        </w:rPr>
        <w:t>OF MESSIAH’S KINGDOM AND WHY IT MATTERS</w:t>
      </w:r>
    </w:p>
    <w:p w:rsidR="008E4157" w:rsidRPr="001220EB" w:rsidRDefault="008E4157" w:rsidP="008E4157">
      <w:pPr>
        <w:jc w:val="center"/>
        <w:rPr>
          <w:rFonts w:cs="Arial"/>
          <w:b/>
          <w:sz w:val="28"/>
          <w:szCs w:val="28"/>
        </w:rPr>
      </w:pPr>
    </w:p>
    <w:p w:rsidR="00C47D77" w:rsidRPr="00D40E21" w:rsidRDefault="008E4157" w:rsidP="008E4157">
      <w:pPr>
        <w:jc w:val="center"/>
        <w:rPr>
          <w:rFonts w:cs="Arial"/>
          <w:b/>
          <w:sz w:val="28"/>
          <w:szCs w:val="28"/>
        </w:rPr>
      </w:pPr>
      <w:r w:rsidRPr="001220EB">
        <w:rPr>
          <w:rFonts w:cs="Arial"/>
          <w:b/>
          <w:sz w:val="28"/>
          <w:szCs w:val="28"/>
        </w:rPr>
        <w:t>PHILIPPE R. STERLING</w:t>
      </w:r>
    </w:p>
    <w:p w:rsidR="008E4157" w:rsidRDefault="008E4157" w:rsidP="008E4157">
      <w:pPr>
        <w:jc w:val="center"/>
        <w:rPr>
          <w:rFonts w:cs="Arial"/>
        </w:rPr>
      </w:pPr>
      <w:r>
        <w:rPr>
          <w:rFonts w:cs="Arial"/>
        </w:rPr>
        <w:t>Pastor, Vista Ridge Bible Fellowship</w:t>
      </w:r>
    </w:p>
    <w:p w:rsidR="008E4157" w:rsidRPr="001220EB" w:rsidRDefault="008E4157" w:rsidP="008E4157">
      <w:pPr>
        <w:jc w:val="center"/>
        <w:rPr>
          <w:rFonts w:cs="Arial"/>
        </w:rPr>
      </w:pPr>
      <w:smartTag w:uri="urn:schemas-microsoft-com:office:smarttags" w:element="place">
        <w:smartTag w:uri="urn:schemas-microsoft-com:office:smarttags" w:element="City">
          <w:r>
            <w:rPr>
              <w:rFonts w:cs="Arial"/>
            </w:rPr>
            <w:t>Lewisville</w:t>
          </w:r>
        </w:smartTag>
        <w:r w:rsidRPr="001220EB">
          <w:rPr>
            <w:rFonts w:cs="Arial"/>
          </w:rPr>
          <w:t xml:space="preserve">, </w:t>
        </w:r>
        <w:smartTag w:uri="urn:schemas-microsoft-com:office:smarttags" w:element="State">
          <w:r w:rsidRPr="001220EB">
            <w:rPr>
              <w:rFonts w:cs="Arial"/>
            </w:rPr>
            <w:t>Texas</w:t>
          </w:r>
        </w:smartTag>
      </w:smartTag>
    </w:p>
    <w:p w:rsidR="00F40FF9" w:rsidRPr="001220EB" w:rsidRDefault="00F40FF9" w:rsidP="008E4157">
      <w:pPr>
        <w:jc w:val="center"/>
        <w:rPr>
          <w:rFonts w:cs="Arial"/>
          <w:b/>
        </w:rPr>
      </w:pPr>
    </w:p>
    <w:p w:rsidR="008E4157" w:rsidRPr="001220EB" w:rsidRDefault="008E4157" w:rsidP="008E4157">
      <w:pPr>
        <w:spacing w:line="480" w:lineRule="auto"/>
        <w:jc w:val="center"/>
        <w:rPr>
          <w:rFonts w:cs="Arial"/>
          <w:b/>
          <w:sz w:val="28"/>
          <w:szCs w:val="28"/>
        </w:rPr>
      </w:pPr>
      <w:r>
        <w:rPr>
          <w:rFonts w:cs="Arial"/>
          <w:b/>
          <w:sz w:val="28"/>
          <w:szCs w:val="28"/>
        </w:rPr>
        <w:t xml:space="preserve">I.  </w:t>
      </w:r>
      <w:r w:rsidR="001D1569">
        <w:rPr>
          <w:rFonts w:cs="Arial"/>
          <w:b/>
          <w:sz w:val="28"/>
          <w:szCs w:val="28"/>
        </w:rPr>
        <w:t>INTRODUCTION</w:t>
      </w:r>
    </w:p>
    <w:p w:rsidR="008E4157" w:rsidRDefault="00177CCA" w:rsidP="008E4157">
      <w:pPr>
        <w:spacing w:line="480" w:lineRule="auto"/>
        <w:ind w:firstLine="432"/>
        <w:rPr>
          <w:rFonts w:cs="Arial"/>
        </w:rPr>
      </w:pPr>
      <w:r>
        <w:rPr>
          <w:rFonts w:cs="Arial"/>
        </w:rPr>
        <w:t>I live in a town where</w:t>
      </w:r>
      <w:r w:rsidR="008E4157">
        <w:rPr>
          <w:rFonts w:cs="Arial"/>
        </w:rPr>
        <w:t xml:space="preserve"> many of the </w:t>
      </w:r>
      <w:r w:rsidR="006B5E1C">
        <w:rPr>
          <w:rFonts w:cs="Arial"/>
        </w:rPr>
        <w:t>pastors</w:t>
      </w:r>
      <w:r w:rsidR="008E4157">
        <w:rPr>
          <w:rFonts w:cs="Arial"/>
        </w:rPr>
        <w:t xml:space="preserve"> meet weekly for coffee, reading and discussion of a chapter of the Bible, and p</w:t>
      </w:r>
      <w:r w:rsidR="00C872E1">
        <w:rPr>
          <w:rFonts w:cs="Arial"/>
        </w:rPr>
        <w:t>rayer.  The</w:t>
      </w:r>
      <w:r w:rsidR="00ED38E5">
        <w:rPr>
          <w:rFonts w:cs="Arial"/>
        </w:rPr>
        <w:t xml:space="preserve"> informal group </w:t>
      </w:r>
      <w:r w:rsidR="008E4157">
        <w:rPr>
          <w:rFonts w:cs="Arial"/>
        </w:rPr>
        <w:t>inc</w:t>
      </w:r>
      <w:r w:rsidR="00ED38E5">
        <w:rPr>
          <w:rFonts w:cs="Arial"/>
        </w:rPr>
        <w:t>ludes</w:t>
      </w:r>
      <w:r w:rsidR="008E4157">
        <w:rPr>
          <w:rFonts w:cs="Arial"/>
        </w:rPr>
        <w:t xml:space="preserve"> </w:t>
      </w:r>
      <w:r w:rsidR="004517DD">
        <w:rPr>
          <w:rFonts w:cs="Arial"/>
        </w:rPr>
        <w:t xml:space="preserve">pastors of </w:t>
      </w:r>
      <w:r w:rsidR="008E4157">
        <w:rPr>
          <w:rFonts w:cs="Arial"/>
        </w:rPr>
        <w:t xml:space="preserve">Lutheran, Presbyterian, Methodist, </w:t>
      </w:r>
      <w:r w:rsidR="004517DD">
        <w:rPr>
          <w:rFonts w:cs="Arial"/>
        </w:rPr>
        <w:t>Baptist, Catholic, Assembly of God, and Independent churches.</w:t>
      </w:r>
      <w:r w:rsidR="006756B6">
        <w:rPr>
          <w:rFonts w:cs="Arial"/>
        </w:rPr>
        <w:t xml:space="preserve">  Every now and then </w:t>
      </w:r>
      <w:r w:rsidR="006B5E1C">
        <w:rPr>
          <w:rFonts w:cs="Arial"/>
        </w:rPr>
        <w:t>one of the pastors</w:t>
      </w:r>
      <w:r w:rsidR="00C872E1">
        <w:rPr>
          <w:rFonts w:cs="Arial"/>
        </w:rPr>
        <w:t xml:space="preserve"> </w:t>
      </w:r>
      <w:r w:rsidR="005B0548">
        <w:rPr>
          <w:rFonts w:cs="Arial"/>
        </w:rPr>
        <w:t>will</w:t>
      </w:r>
      <w:r w:rsidR="00786FA7">
        <w:rPr>
          <w:rFonts w:cs="Arial"/>
        </w:rPr>
        <w:t xml:space="preserve"> make</w:t>
      </w:r>
      <w:r w:rsidR="006756B6">
        <w:rPr>
          <w:rFonts w:cs="Arial"/>
        </w:rPr>
        <w:t xml:space="preserve"> </w:t>
      </w:r>
      <w:r w:rsidR="005B0548">
        <w:rPr>
          <w:rFonts w:cs="Arial"/>
        </w:rPr>
        <w:t>a statement</w:t>
      </w:r>
      <w:r w:rsidR="00786FA7">
        <w:rPr>
          <w:rFonts w:cs="Arial"/>
        </w:rPr>
        <w:t xml:space="preserve"> </w:t>
      </w:r>
      <w:r w:rsidR="006756B6">
        <w:rPr>
          <w:rFonts w:cs="Arial"/>
        </w:rPr>
        <w:t>that reflect</w:t>
      </w:r>
      <w:r w:rsidR="005B0548">
        <w:rPr>
          <w:rFonts w:cs="Arial"/>
        </w:rPr>
        <w:t>s</w:t>
      </w:r>
      <w:r w:rsidR="006756B6">
        <w:rPr>
          <w:rFonts w:cs="Arial"/>
        </w:rPr>
        <w:t xml:space="preserve"> a certain eschatological view.  Severa</w:t>
      </w:r>
      <w:r w:rsidR="00786FA7">
        <w:rPr>
          <w:rFonts w:cs="Arial"/>
        </w:rPr>
        <w:t xml:space="preserve">l </w:t>
      </w:r>
      <w:r w:rsidR="006756B6">
        <w:rPr>
          <w:rFonts w:cs="Arial"/>
        </w:rPr>
        <w:t>often speak of “advancing the kingdom</w:t>
      </w:r>
      <w:r w:rsidR="00786FA7">
        <w:rPr>
          <w:rFonts w:cs="Arial"/>
        </w:rPr>
        <w:t>.”  Some have made disparaging remarks about “Left Behind” theology and dispensationalists.</w:t>
      </w:r>
      <w:r w:rsidR="004E250F">
        <w:rPr>
          <w:rFonts w:cs="Arial"/>
        </w:rPr>
        <w:t xml:space="preserve">  Such remarks are usually </w:t>
      </w:r>
      <w:r w:rsidR="005B0548">
        <w:rPr>
          <w:rFonts w:cs="Arial"/>
        </w:rPr>
        <w:t>in the context of discussion about the mission of the church and the state of the world.</w:t>
      </w:r>
      <w:r w:rsidR="004E250F">
        <w:rPr>
          <w:rFonts w:cs="Arial"/>
        </w:rPr>
        <w:t xml:space="preserve">  On one occasion I replied </w:t>
      </w:r>
      <w:proofErr w:type="gramStart"/>
      <w:r w:rsidR="004E250F">
        <w:rPr>
          <w:rFonts w:cs="Arial"/>
        </w:rPr>
        <w:t>to</w:t>
      </w:r>
      <w:proofErr w:type="gramEnd"/>
      <w:r w:rsidR="004E250F">
        <w:rPr>
          <w:rFonts w:cs="Arial"/>
        </w:rPr>
        <w:t xml:space="preserve"> a disparaging remark by stating that I was a dispensationalist and did not think that </w:t>
      </w:r>
      <w:r w:rsidR="00240B9E">
        <w:rPr>
          <w:rFonts w:cs="Arial"/>
        </w:rPr>
        <w:t>dispensationalists were the blame</w:t>
      </w:r>
      <w:r w:rsidR="00F048E5">
        <w:rPr>
          <w:rFonts w:cs="Arial"/>
        </w:rPr>
        <w:t xml:space="preserve"> for the current </w:t>
      </w:r>
      <w:r w:rsidR="004E250F">
        <w:rPr>
          <w:rFonts w:cs="Arial"/>
        </w:rPr>
        <w:t>state of the church and the world.</w:t>
      </w:r>
      <w:r w:rsidR="00034DD4">
        <w:rPr>
          <w:rFonts w:cs="Arial"/>
        </w:rPr>
        <w:t xml:space="preserve">  An apology soon followed with a remark that </w:t>
      </w:r>
      <w:r w:rsidR="0089716E">
        <w:rPr>
          <w:rFonts w:cs="Arial"/>
        </w:rPr>
        <w:t>he</w:t>
      </w:r>
      <w:r w:rsidR="000851E0">
        <w:rPr>
          <w:rFonts w:cs="Arial"/>
        </w:rPr>
        <w:t xml:space="preserve"> did not really subscribe to a</w:t>
      </w:r>
      <w:r w:rsidR="0089716E">
        <w:rPr>
          <w:rFonts w:cs="Arial"/>
        </w:rPr>
        <w:t xml:space="preserve"> particular eschatology</w:t>
      </w:r>
      <w:r w:rsidR="00034DD4">
        <w:rPr>
          <w:rFonts w:cs="Arial"/>
        </w:rPr>
        <w:t>.</w:t>
      </w:r>
      <w:r w:rsidR="0089716E">
        <w:rPr>
          <w:rFonts w:cs="Arial"/>
        </w:rPr>
        <w:t xml:space="preserve">  I then replied</w:t>
      </w:r>
      <w:r w:rsidR="000851E0">
        <w:rPr>
          <w:rFonts w:cs="Arial"/>
        </w:rPr>
        <w:t xml:space="preserve"> that everyone has an</w:t>
      </w:r>
      <w:r w:rsidR="00240B9E">
        <w:rPr>
          <w:rFonts w:cs="Arial"/>
        </w:rPr>
        <w:t xml:space="preserve"> eschatological view and that view impacts life and ministry</w:t>
      </w:r>
      <w:r w:rsidR="0089716E">
        <w:rPr>
          <w:rFonts w:cs="Arial"/>
        </w:rPr>
        <w:t xml:space="preserve">.  </w:t>
      </w:r>
      <w:r w:rsidR="000851E0">
        <w:rPr>
          <w:rFonts w:cs="Arial"/>
        </w:rPr>
        <w:t>His</w:t>
      </w:r>
      <w:r w:rsidR="0089716E">
        <w:rPr>
          <w:rFonts w:cs="Arial"/>
        </w:rPr>
        <w:t xml:space="preserve"> eschatology appeared to be</w:t>
      </w:r>
      <w:r w:rsidR="000851E0">
        <w:rPr>
          <w:rFonts w:cs="Arial"/>
        </w:rPr>
        <w:t xml:space="preserve"> one of the varieties of postmillennialism which influenced his belief about the missi</w:t>
      </w:r>
      <w:r w:rsidR="00AB3AA2">
        <w:rPr>
          <w:rFonts w:cs="Arial"/>
        </w:rPr>
        <w:t>on of the church.  He subscribed</w:t>
      </w:r>
      <w:r w:rsidR="000851E0">
        <w:rPr>
          <w:rFonts w:cs="Arial"/>
        </w:rPr>
        <w:t xml:space="preserve"> strongly to Rick Warren’s P.E.A.C.E.  P</w:t>
      </w:r>
      <w:r w:rsidR="00240B9E">
        <w:rPr>
          <w:rFonts w:cs="Arial"/>
        </w:rPr>
        <w:t>lan to mobilize</w:t>
      </w:r>
      <w:r w:rsidR="000851E0">
        <w:rPr>
          <w:rFonts w:cs="Arial"/>
        </w:rPr>
        <w:t xml:space="preserve"> </w:t>
      </w:r>
      <w:r w:rsidR="00240B9E">
        <w:rPr>
          <w:rFonts w:cs="Arial"/>
        </w:rPr>
        <w:t>Christendom and change the world.</w:t>
      </w:r>
      <w:r w:rsidR="00AB3AA2">
        <w:rPr>
          <w:rFonts w:cs="Arial"/>
        </w:rPr>
        <w:t xml:space="preserve">  He has a full-time minister on staff whose responsibility is the implementation of the P.E.A.C.E. Plan for his church.</w:t>
      </w:r>
    </w:p>
    <w:p w:rsidR="006F4CE4" w:rsidRPr="001220EB" w:rsidRDefault="00AB3AA2" w:rsidP="003151BC">
      <w:pPr>
        <w:spacing w:line="480" w:lineRule="auto"/>
        <w:ind w:firstLine="432"/>
        <w:rPr>
          <w:rFonts w:cs="Arial"/>
        </w:rPr>
      </w:pPr>
      <w:r>
        <w:rPr>
          <w:rFonts w:cs="Arial"/>
        </w:rPr>
        <w:t>A believer’s eschatological view</w:t>
      </w:r>
      <w:r w:rsidR="006F4CE4">
        <w:rPr>
          <w:rFonts w:cs="Arial"/>
        </w:rPr>
        <w:t xml:space="preserve"> </w:t>
      </w:r>
      <w:r w:rsidR="006B5E1C">
        <w:rPr>
          <w:rFonts w:cs="Arial"/>
        </w:rPr>
        <w:t>matter</w:t>
      </w:r>
      <w:r w:rsidR="000851E0">
        <w:rPr>
          <w:rFonts w:cs="Arial"/>
        </w:rPr>
        <w:t>s</w:t>
      </w:r>
      <w:r w:rsidR="006F4CE4">
        <w:rPr>
          <w:rFonts w:cs="Arial"/>
        </w:rPr>
        <w:t>.  What we believe about</w:t>
      </w:r>
      <w:r w:rsidR="00240B9E">
        <w:rPr>
          <w:rFonts w:cs="Arial"/>
        </w:rPr>
        <w:t xml:space="preserve"> one aspect of eschatology – </w:t>
      </w:r>
      <w:r w:rsidR="006F4CE4">
        <w:rPr>
          <w:rFonts w:cs="Arial"/>
        </w:rPr>
        <w:t xml:space="preserve">the when and how of the coming of the </w:t>
      </w:r>
      <w:r w:rsidR="00AD7A2A">
        <w:rPr>
          <w:rFonts w:cs="Arial"/>
        </w:rPr>
        <w:t xml:space="preserve">Messianic </w:t>
      </w:r>
      <w:r w:rsidR="006F4CE4">
        <w:rPr>
          <w:rFonts w:cs="Arial"/>
        </w:rPr>
        <w:t>kingdom</w:t>
      </w:r>
      <w:r w:rsidR="00240B9E">
        <w:rPr>
          <w:rFonts w:cs="Arial"/>
        </w:rPr>
        <w:t>–</w:t>
      </w:r>
      <w:r w:rsidR="006F4CE4">
        <w:rPr>
          <w:rFonts w:cs="Arial"/>
        </w:rPr>
        <w:t xml:space="preserve"> matters.  It affects our view of the church and its mission in the world.  It affects our view of the Jewish people and the nation of </w:t>
      </w:r>
      <w:r w:rsidR="006F4CE4">
        <w:rPr>
          <w:rFonts w:cs="Arial"/>
        </w:rPr>
        <w:lastRenderedPageBreak/>
        <w:t xml:space="preserve">Israel.  It affects where </w:t>
      </w:r>
      <w:r w:rsidR="00837839">
        <w:rPr>
          <w:rFonts w:cs="Arial"/>
        </w:rPr>
        <w:t xml:space="preserve">we center our </w:t>
      </w:r>
      <w:r w:rsidR="006F4CE4">
        <w:rPr>
          <w:rFonts w:cs="Arial"/>
        </w:rPr>
        <w:t xml:space="preserve">hope.  This paper will </w:t>
      </w:r>
      <w:r w:rsidR="00177CCA">
        <w:rPr>
          <w:rFonts w:cs="Arial"/>
        </w:rPr>
        <w:t xml:space="preserve">classify and </w:t>
      </w:r>
      <w:r w:rsidR="006F4CE4">
        <w:rPr>
          <w:rFonts w:cs="Arial"/>
        </w:rPr>
        <w:t>summarize the contemporary evangel</w:t>
      </w:r>
      <w:r>
        <w:rPr>
          <w:rFonts w:cs="Arial"/>
        </w:rPr>
        <w:t xml:space="preserve">ical views of the coming of Messiah’s </w:t>
      </w:r>
      <w:r w:rsidR="006F4CE4">
        <w:rPr>
          <w:rFonts w:cs="Arial"/>
        </w:rPr>
        <w:t xml:space="preserve">kingdom and point out </w:t>
      </w:r>
      <w:r>
        <w:rPr>
          <w:rFonts w:cs="Arial"/>
        </w:rPr>
        <w:t xml:space="preserve">some of </w:t>
      </w:r>
      <w:r w:rsidR="006F4CE4">
        <w:rPr>
          <w:rFonts w:cs="Arial"/>
        </w:rPr>
        <w:t>the implications for the church, Israel, and a believer’s hope.</w:t>
      </w:r>
    </w:p>
    <w:p w:rsidR="00AB3D63" w:rsidRDefault="00AB3D63" w:rsidP="00AB3D63">
      <w:pPr>
        <w:spacing w:line="480" w:lineRule="auto"/>
        <w:ind w:firstLine="432"/>
        <w:jc w:val="center"/>
        <w:rPr>
          <w:rFonts w:cs="Arial"/>
          <w:b/>
          <w:sz w:val="28"/>
          <w:szCs w:val="28"/>
        </w:rPr>
      </w:pPr>
      <w:r>
        <w:rPr>
          <w:rFonts w:cs="Arial"/>
          <w:b/>
          <w:sz w:val="28"/>
          <w:szCs w:val="28"/>
        </w:rPr>
        <w:t>II</w:t>
      </w:r>
      <w:proofErr w:type="gramStart"/>
      <w:r>
        <w:rPr>
          <w:rFonts w:cs="Arial"/>
          <w:b/>
          <w:sz w:val="28"/>
          <w:szCs w:val="28"/>
        </w:rPr>
        <w:t xml:space="preserve">.  </w:t>
      </w:r>
      <w:r w:rsidR="007E6A62">
        <w:rPr>
          <w:rFonts w:cs="Arial"/>
          <w:b/>
          <w:sz w:val="28"/>
          <w:szCs w:val="28"/>
        </w:rPr>
        <w:t>EVANGELICAL</w:t>
      </w:r>
      <w:proofErr w:type="gramEnd"/>
      <w:r w:rsidR="007E6A62">
        <w:rPr>
          <w:rFonts w:cs="Arial"/>
          <w:b/>
          <w:sz w:val="28"/>
          <w:szCs w:val="28"/>
        </w:rPr>
        <w:t xml:space="preserve"> VIEWS OF MESSIAH’S</w:t>
      </w:r>
      <w:r w:rsidR="001D1569">
        <w:rPr>
          <w:rFonts w:cs="Arial"/>
          <w:b/>
          <w:sz w:val="28"/>
          <w:szCs w:val="28"/>
        </w:rPr>
        <w:t xml:space="preserve"> KINGDOM</w:t>
      </w:r>
    </w:p>
    <w:p w:rsidR="006602DE" w:rsidRDefault="001D0C84" w:rsidP="003151BC">
      <w:pPr>
        <w:spacing w:line="480" w:lineRule="auto"/>
        <w:ind w:firstLine="432"/>
        <w:rPr>
          <w:rFonts w:cs="Arial"/>
        </w:rPr>
      </w:pPr>
      <w:r>
        <w:rPr>
          <w:rFonts w:cs="Arial"/>
        </w:rPr>
        <w:t xml:space="preserve">The </w:t>
      </w:r>
      <w:r w:rsidR="00ED38E5">
        <w:rPr>
          <w:rFonts w:cs="Arial"/>
        </w:rPr>
        <w:t>contemporary</w:t>
      </w:r>
      <w:r w:rsidR="003151BC">
        <w:rPr>
          <w:rFonts w:cs="Arial"/>
        </w:rPr>
        <w:t xml:space="preserve"> evangelical views of the kingdom </w:t>
      </w:r>
      <w:r>
        <w:rPr>
          <w:rFonts w:cs="Arial"/>
        </w:rPr>
        <w:t xml:space="preserve">can be classified </w:t>
      </w:r>
      <w:r w:rsidR="00ED38E5">
        <w:rPr>
          <w:rFonts w:cs="Arial"/>
        </w:rPr>
        <w:t xml:space="preserve">under </w:t>
      </w:r>
      <w:r w:rsidR="006B5E1C">
        <w:rPr>
          <w:rFonts w:cs="Arial"/>
        </w:rPr>
        <w:t xml:space="preserve">three general </w:t>
      </w:r>
      <w:r w:rsidR="00ED38E5">
        <w:rPr>
          <w:rFonts w:cs="Arial"/>
        </w:rPr>
        <w:t>categories that involve</w:t>
      </w:r>
      <w:r w:rsidR="00FD24E1">
        <w:rPr>
          <w:rFonts w:cs="Arial"/>
        </w:rPr>
        <w:t xml:space="preserve"> </w:t>
      </w:r>
      <w:r w:rsidR="003151BC">
        <w:rPr>
          <w:rFonts w:cs="Arial"/>
        </w:rPr>
        <w:t>three terms</w:t>
      </w:r>
      <w:r w:rsidR="00ED38E5">
        <w:rPr>
          <w:rFonts w:cs="Arial"/>
        </w:rPr>
        <w:t xml:space="preserve"> which appear in the literature</w:t>
      </w:r>
      <w:r w:rsidR="001B3784">
        <w:rPr>
          <w:rFonts w:cs="Arial"/>
        </w:rPr>
        <w:t xml:space="preserve"> –</w:t>
      </w:r>
      <w:r w:rsidR="006602DE">
        <w:rPr>
          <w:rFonts w:cs="Arial"/>
        </w:rPr>
        <w:t xml:space="preserve"> already, now, and not yet:</w:t>
      </w:r>
    </w:p>
    <w:p w:rsidR="006602DE" w:rsidRDefault="00551700" w:rsidP="006602DE">
      <w:pPr>
        <w:ind w:firstLine="432"/>
        <w:rPr>
          <w:rFonts w:cs="Arial"/>
        </w:rPr>
      </w:pPr>
      <w:r w:rsidRPr="00551700">
        <w:rPr>
          <w:rFonts w:cs="Arial"/>
          <w:noProof/>
        </w:rPr>
        <w:drawing>
          <wp:inline distT="0" distB="0" distL="0" distR="0">
            <wp:extent cx="5943600" cy="4025265"/>
            <wp:effectExtent l="0" t="0" r="0" b="0"/>
            <wp:docPr id="19" name="Object 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610600" cy="5830907"/>
                      <a:chOff x="152400" y="228600"/>
                      <a:chExt cx="8610600" cy="5830907"/>
                    </a:xfrm>
                  </a:grpSpPr>
                  <a:sp>
                    <a:nvSpPr>
                      <a:cNvPr id="4" name="Oval 3"/>
                      <a:cNvSpPr/>
                    </a:nvSpPr>
                    <a:spPr>
                      <a:xfrm>
                        <a:off x="3657600" y="381000"/>
                        <a:ext cx="1524000" cy="838200"/>
                      </a:xfrm>
                      <a:prstGeom prst="ellips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 name="Straight Connector 5"/>
                      <a:cNvCxnSpPr>
                        <a:stCxn id="4" idx="4"/>
                      </a:cNvCxnSpPr>
                    </a:nvCxnSpPr>
                    <a:spPr>
                      <a:xfrm>
                        <a:off x="4419600" y="1219200"/>
                        <a:ext cx="0" cy="38100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8" name="Straight Connector 7"/>
                      <a:cNvCxnSpPr/>
                    </a:nvCxnSpPr>
                    <a:spPr>
                      <a:xfrm>
                        <a:off x="4419600" y="1600200"/>
                        <a:ext cx="2926080" cy="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11" name="Straight Connector 10"/>
                      <a:cNvCxnSpPr/>
                    </a:nvCxnSpPr>
                    <a:spPr>
                      <a:xfrm>
                        <a:off x="1524000" y="1600200"/>
                        <a:ext cx="2926080" cy="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15" name="Straight Connector 14"/>
                      <a:cNvCxnSpPr/>
                    </a:nvCxnSpPr>
                    <a:spPr>
                      <a:xfrm>
                        <a:off x="1524000" y="1600200"/>
                        <a:ext cx="0" cy="45720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16" name="Straight Connector 15"/>
                      <a:cNvCxnSpPr/>
                    </a:nvCxnSpPr>
                    <a:spPr>
                      <a:xfrm>
                        <a:off x="4419600" y="1600200"/>
                        <a:ext cx="0" cy="45720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17" name="Straight Connector 16"/>
                      <a:cNvCxnSpPr/>
                    </a:nvCxnSpPr>
                    <a:spPr>
                      <a:xfrm>
                        <a:off x="7315200" y="1600200"/>
                        <a:ext cx="0" cy="457200"/>
                      </a:xfrm>
                      <a:prstGeom prst="line">
                        <a:avLst/>
                      </a:prstGeom>
                      <a:ln w="28575"/>
                    </a:spPr>
                    <a:style>
                      <a:lnRef idx="1">
                        <a:schemeClr val="accent1"/>
                      </a:lnRef>
                      <a:fillRef idx="0">
                        <a:schemeClr val="accent1"/>
                      </a:fillRef>
                      <a:effectRef idx="0">
                        <a:schemeClr val="accent1"/>
                      </a:effectRef>
                      <a:fontRef idx="minor">
                        <a:schemeClr val="tx1"/>
                      </a:fontRef>
                    </a:style>
                  </a:cxnSp>
                  <a:sp>
                    <a:nvSpPr>
                      <a:cNvPr id="18" name="TextBox 17"/>
                      <a:cNvSpPr txBox="1"/>
                    </a:nvSpPr>
                    <a:spPr>
                      <a:xfrm>
                        <a:off x="533400" y="2057400"/>
                        <a:ext cx="18288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b="1" dirty="0" smtClean="0"/>
                            <a:t>Already/Now/Not Yet</a:t>
                          </a:r>
                          <a:endParaRPr lang="en-US" sz="1400" b="1" dirty="0"/>
                        </a:p>
                      </a:txBody>
                      <a:useSpRect/>
                    </a:txSp>
                  </a:sp>
                  <a:sp>
                    <a:nvSpPr>
                      <a:cNvPr id="19" name="TextBox 18"/>
                      <a:cNvSpPr txBox="1"/>
                    </a:nvSpPr>
                    <a:spPr>
                      <a:xfrm>
                        <a:off x="3048000" y="2057400"/>
                        <a:ext cx="27432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b="1" dirty="0" smtClean="0"/>
                            <a:t> Already/Not Yet</a:t>
                          </a:r>
                          <a:endParaRPr lang="en-US" sz="1400" b="1" dirty="0"/>
                        </a:p>
                      </a:txBody>
                      <a:useSpRect/>
                    </a:txSp>
                  </a:sp>
                  <a:sp>
                    <a:nvSpPr>
                      <a:cNvPr id="20" name="TextBox 19"/>
                      <a:cNvSpPr txBox="1"/>
                    </a:nvSpPr>
                    <a:spPr>
                      <a:xfrm>
                        <a:off x="6019800" y="2057400"/>
                        <a:ext cx="25908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b="1" dirty="0" smtClean="0"/>
                            <a:t>Not Yet</a:t>
                          </a:r>
                          <a:endParaRPr lang="en-US" sz="1400" b="1" dirty="0"/>
                        </a:p>
                      </a:txBody>
                      <a:useSpRect/>
                    </a:txSp>
                  </a:sp>
                  <a:cxnSp>
                    <a:nvCxnSpPr>
                      <a:cNvPr id="21" name="Straight Connector 20"/>
                      <a:cNvCxnSpPr/>
                    </a:nvCxnSpPr>
                    <a:spPr>
                      <a:xfrm>
                        <a:off x="1524000" y="2438400"/>
                        <a:ext cx="0" cy="45720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22" name="Straight Connector 21"/>
                      <a:cNvCxnSpPr/>
                    </a:nvCxnSpPr>
                    <a:spPr>
                      <a:xfrm>
                        <a:off x="4419600" y="2438400"/>
                        <a:ext cx="0" cy="45720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23" name="Straight Connector 22"/>
                      <a:cNvCxnSpPr/>
                    </a:nvCxnSpPr>
                    <a:spPr>
                      <a:xfrm>
                        <a:off x="7315200" y="2438400"/>
                        <a:ext cx="0" cy="45720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25" name="Straight Connector 24"/>
                      <a:cNvCxnSpPr/>
                    </a:nvCxnSpPr>
                    <a:spPr>
                      <a:xfrm>
                        <a:off x="914400" y="2895600"/>
                        <a:ext cx="1219200" cy="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26" name="Straight Connector 25"/>
                      <a:cNvCxnSpPr/>
                    </a:nvCxnSpPr>
                    <a:spPr>
                      <a:xfrm>
                        <a:off x="3810000" y="2895600"/>
                        <a:ext cx="1219200" cy="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27" name="Straight Connector 26"/>
                      <a:cNvCxnSpPr/>
                    </a:nvCxnSpPr>
                    <a:spPr>
                      <a:xfrm>
                        <a:off x="6705600" y="2895600"/>
                        <a:ext cx="1219200" cy="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28" name="Straight Connector 27"/>
                      <a:cNvCxnSpPr/>
                    </a:nvCxnSpPr>
                    <a:spPr>
                      <a:xfrm>
                        <a:off x="914400" y="2895600"/>
                        <a:ext cx="0" cy="45720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29" name="Straight Connector 28"/>
                      <a:cNvCxnSpPr/>
                    </a:nvCxnSpPr>
                    <a:spPr>
                      <a:xfrm>
                        <a:off x="2133600" y="2895600"/>
                        <a:ext cx="0" cy="45720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30" name="Straight Connector 29"/>
                      <a:cNvCxnSpPr/>
                    </a:nvCxnSpPr>
                    <a:spPr>
                      <a:xfrm>
                        <a:off x="3810000" y="2895600"/>
                        <a:ext cx="0" cy="45720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31" name="Straight Connector 30"/>
                      <a:cNvCxnSpPr/>
                    </a:nvCxnSpPr>
                    <a:spPr>
                      <a:xfrm>
                        <a:off x="5029200" y="2895600"/>
                        <a:ext cx="0" cy="45720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32" name="Straight Connector 31"/>
                      <a:cNvCxnSpPr/>
                    </a:nvCxnSpPr>
                    <a:spPr>
                      <a:xfrm>
                        <a:off x="6705600" y="2895600"/>
                        <a:ext cx="0" cy="45720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33" name="Straight Connector 32"/>
                      <a:cNvCxnSpPr/>
                    </a:nvCxnSpPr>
                    <a:spPr>
                      <a:xfrm>
                        <a:off x="7924800" y="2895600"/>
                        <a:ext cx="0" cy="457200"/>
                      </a:xfrm>
                      <a:prstGeom prst="line">
                        <a:avLst/>
                      </a:prstGeom>
                      <a:ln w="28575"/>
                    </a:spPr>
                    <a:style>
                      <a:lnRef idx="1">
                        <a:schemeClr val="accent1"/>
                      </a:lnRef>
                      <a:fillRef idx="0">
                        <a:schemeClr val="accent1"/>
                      </a:fillRef>
                      <a:effectRef idx="0">
                        <a:schemeClr val="accent1"/>
                      </a:effectRef>
                      <a:fontRef idx="minor">
                        <a:schemeClr val="tx1"/>
                      </a:fontRef>
                    </a:style>
                  </a:cxnSp>
                  <a:sp>
                    <a:nvSpPr>
                      <a:cNvPr id="34" name="Rectangle 33"/>
                      <a:cNvSpPr/>
                    </a:nvSpPr>
                    <a:spPr>
                      <a:xfrm>
                        <a:off x="304800" y="3352800"/>
                        <a:ext cx="1219200" cy="5334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5" name="Rectangle 34"/>
                      <a:cNvSpPr/>
                    </a:nvSpPr>
                    <a:spPr>
                      <a:xfrm>
                        <a:off x="1676400" y="3352800"/>
                        <a:ext cx="1219200" cy="5334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6" name="Rectangle 35"/>
                      <a:cNvSpPr/>
                    </a:nvSpPr>
                    <a:spPr>
                      <a:xfrm>
                        <a:off x="3200400" y="3352800"/>
                        <a:ext cx="1219200" cy="5334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7" name="Rectangle 36"/>
                      <a:cNvSpPr/>
                    </a:nvSpPr>
                    <a:spPr>
                      <a:xfrm>
                        <a:off x="4572000" y="3352800"/>
                        <a:ext cx="1219200" cy="5334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8" name="Rectangle 37"/>
                      <a:cNvSpPr/>
                    </a:nvSpPr>
                    <a:spPr>
                      <a:xfrm>
                        <a:off x="6096000" y="3352800"/>
                        <a:ext cx="1219200" cy="5334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Rectangle 38"/>
                      <a:cNvSpPr/>
                    </a:nvSpPr>
                    <a:spPr>
                      <a:xfrm>
                        <a:off x="7467600" y="3352800"/>
                        <a:ext cx="1219200" cy="533400"/>
                      </a:xfrm>
                      <a:prstGeom prst="rect">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TextBox 39"/>
                      <a:cNvSpPr txBox="1"/>
                    </a:nvSpPr>
                    <a:spPr>
                      <a:xfrm>
                        <a:off x="3810000" y="457200"/>
                        <a:ext cx="1219200" cy="7386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b="1" dirty="0" smtClean="0">
                              <a:solidFill>
                                <a:schemeClr val="bg1"/>
                              </a:solidFill>
                            </a:rPr>
                            <a:t>Views of Messiah’s</a:t>
                          </a:r>
                        </a:p>
                        <a:p>
                          <a:pPr algn="ctr"/>
                          <a:r>
                            <a:rPr lang="en-US" sz="1400" b="1" dirty="0" smtClean="0">
                              <a:solidFill>
                                <a:schemeClr val="bg1"/>
                              </a:solidFill>
                            </a:rPr>
                            <a:t>Kingdom</a:t>
                          </a:r>
                          <a:endParaRPr lang="en-US" sz="1400" b="1" dirty="0">
                            <a:solidFill>
                              <a:schemeClr val="bg1"/>
                            </a:solidFill>
                          </a:endParaRPr>
                        </a:p>
                      </a:txBody>
                      <a:useSpRect/>
                    </a:txSp>
                  </a:sp>
                  <a:sp>
                    <a:nvSpPr>
                      <a:cNvPr id="41" name="TextBox 40"/>
                      <a:cNvSpPr txBox="1"/>
                    </a:nvSpPr>
                    <a:spPr>
                      <a:xfrm>
                        <a:off x="228600" y="3429000"/>
                        <a:ext cx="13716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b="1" dirty="0" err="1" smtClean="0">
                              <a:solidFill>
                                <a:schemeClr val="bg1"/>
                              </a:solidFill>
                            </a:rPr>
                            <a:t>Amillennial</a:t>
                          </a:r>
                          <a:endParaRPr lang="en-US" sz="1400" b="1" dirty="0" smtClean="0">
                            <a:solidFill>
                              <a:schemeClr val="bg1"/>
                            </a:solidFill>
                          </a:endParaRPr>
                        </a:p>
                      </a:txBody>
                      <a:useSpRect/>
                    </a:txSp>
                  </a:sp>
                  <a:sp>
                    <a:nvSpPr>
                      <a:cNvPr id="42" name="TextBox 41"/>
                      <a:cNvSpPr txBox="1"/>
                    </a:nvSpPr>
                    <a:spPr>
                      <a:xfrm>
                        <a:off x="1600200" y="3429000"/>
                        <a:ext cx="13716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b="1" dirty="0" smtClean="0">
                              <a:solidFill>
                                <a:schemeClr val="bg1"/>
                              </a:solidFill>
                            </a:rPr>
                            <a:t>Postmillennial</a:t>
                          </a:r>
                        </a:p>
                      </a:txBody>
                      <a:useSpRect/>
                    </a:txSp>
                  </a:sp>
                  <a:sp>
                    <a:nvSpPr>
                      <a:cNvPr id="43" name="TextBox 42"/>
                      <a:cNvSpPr txBox="1"/>
                    </a:nvSpPr>
                    <a:spPr>
                      <a:xfrm>
                        <a:off x="3124200" y="3352800"/>
                        <a:ext cx="12954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b="1" dirty="0" smtClean="0">
                              <a:solidFill>
                                <a:schemeClr val="bg1"/>
                              </a:solidFill>
                            </a:rPr>
                            <a:t>Historic/</a:t>
                          </a:r>
                          <a:r>
                            <a:rPr lang="en-US" sz="1400" b="1" dirty="0" err="1" smtClean="0">
                              <a:solidFill>
                                <a:schemeClr val="bg1"/>
                              </a:solidFill>
                            </a:rPr>
                            <a:t>Cov</a:t>
                          </a:r>
                          <a:r>
                            <a:rPr lang="en-US" sz="1400" b="1" dirty="0" smtClean="0">
                              <a:solidFill>
                                <a:schemeClr val="bg1"/>
                              </a:solidFill>
                            </a:rPr>
                            <a:t>.</a:t>
                          </a:r>
                        </a:p>
                        <a:p>
                          <a:pPr algn="ctr"/>
                          <a:r>
                            <a:rPr lang="en-US" sz="1400" b="1" dirty="0" err="1" smtClean="0">
                              <a:solidFill>
                                <a:schemeClr val="bg1"/>
                              </a:solidFill>
                            </a:rPr>
                            <a:t>Premillennial</a:t>
                          </a:r>
                          <a:endParaRPr lang="en-US" sz="1400" b="1" dirty="0" smtClean="0">
                            <a:solidFill>
                              <a:schemeClr val="bg1"/>
                            </a:solidFill>
                          </a:endParaRPr>
                        </a:p>
                      </a:txBody>
                      <a:useSpRect/>
                    </a:txSp>
                  </a:sp>
                  <a:sp>
                    <a:nvSpPr>
                      <a:cNvPr id="44" name="TextBox 43"/>
                      <a:cNvSpPr txBox="1"/>
                    </a:nvSpPr>
                    <a:spPr>
                      <a:xfrm>
                        <a:off x="4495800" y="3352800"/>
                        <a:ext cx="12954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b="1" dirty="0" smtClean="0">
                              <a:solidFill>
                                <a:schemeClr val="bg1"/>
                              </a:solidFill>
                            </a:rPr>
                            <a:t>Progressive</a:t>
                          </a:r>
                        </a:p>
                        <a:p>
                          <a:pPr algn="ctr"/>
                          <a:r>
                            <a:rPr lang="en-US" sz="1400" b="1" dirty="0" smtClean="0">
                              <a:solidFill>
                                <a:schemeClr val="bg1"/>
                              </a:solidFill>
                            </a:rPr>
                            <a:t>Dispensational</a:t>
                          </a:r>
                        </a:p>
                      </a:txBody>
                      <a:useSpRect/>
                    </a:txSp>
                  </a:sp>
                  <a:sp>
                    <a:nvSpPr>
                      <a:cNvPr id="45" name="TextBox 44"/>
                      <a:cNvSpPr txBox="1"/>
                    </a:nvSpPr>
                    <a:spPr>
                      <a:xfrm>
                        <a:off x="6019800" y="3352800"/>
                        <a:ext cx="13716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b="1" dirty="0" smtClean="0">
                              <a:solidFill>
                                <a:schemeClr val="bg1"/>
                              </a:solidFill>
                            </a:rPr>
                            <a:t>Revised</a:t>
                          </a:r>
                        </a:p>
                        <a:p>
                          <a:pPr algn="ctr"/>
                          <a:r>
                            <a:rPr lang="en-US" sz="1400" b="1" dirty="0" smtClean="0">
                              <a:solidFill>
                                <a:schemeClr val="bg1"/>
                              </a:solidFill>
                            </a:rPr>
                            <a:t>Dispensational</a:t>
                          </a:r>
                        </a:p>
                      </a:txBody>
                      <a:useSpRect/>
                    </a:txSp>
                  </a:sp>
                  <a:sp>
                    <a:nvSpPr>
                      <a:cNvPr id="46" name="TextBox 45"/>
                      <a:cNvSpPr txBox="1"/>
                    </a:nvSpPr>
                    <a:spPr>
                      <a:xfrm>
                        <a:off x="7391400" y="3352800"/>
                        <a:ext cx="13716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b="1" dirty="0" smtClean="0">
                              <a:solidFill>
                                <a:schemeClr val="bg1"/>
                              </a:solidFill>
                            </a:rPr>
                            <a:t>Classical</a:t>
                          </a:r>
                        </a:p>
                        <a:p>
                          <a:pPr algn="ctr"/>
                          <a:r>
                            <a:rPr lang="en-US" sz="1400" b="1" dirty="0" smtClean="0">
                              <a:solidFill>
                                <a:schemeClr val="bg1"/>
                              </a:solidFill>
                            </a:rPr>
                            <a:t>Dispensational</a:t>
                          </a:r>
                        </a:p>
                      </a:txBody>
                      <a:useSpRect/>
                    </a:txSp>
                  </a:sp>
                  <a:sp>
                    <a:nvSpPr>
                      <a:cNvPr id="47" name="TextBox 46"/>
                      <a:cNvSpPr txBox="1"/>
                    </a:nvSpPr>
                    <a:spPr>
                      <a:xfrm>
                        <a:off x="1600200" y="5105400"/>
                        <a:ext cx="4114800" cy="7386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Font typeface="Arial" pitchFamily="34" charset="0"/>
                            <a:buChar char="•"/>
                          </a:pPr>
                          <a:r>
                            <a:rPr lang="en-US" sz="1400" b="1" dirty="0" smtClean="0"/>
                            <a:t>Revivalist (Old and New)</a:t>
                          </a:r>
                        </a:p>
                        <a:p>
                          <a:pPr>
                            <a:buFont typeface="Arial" pitchFamily="34" charset="0"/>
                            <a:buChar char="•"/>
                          </a:pPr>
                          <a:r>
                            <a:rPr lang="en-US" sz="1400" b="1" dirty="0" err="1" smtClean="0"/>
                            <a:t>Reconstructionist</a:t>
                          </a:r>
                          <a:r>
                            <a:rPr lang="en-US" sz="1400" b="1" dirty="0" smtClean="0"/>
                            <a:t> – </a:t>
                          </a:r>
                          <a:r>
                            <a:rPr lang="en-US" sz="1400" b="1" dirty="0" err="1" smtClean="0"/>
                            <a:t>Theonomy</a:t>
                          </a:r>
                          <a:endParaRPr lang="en-US" sz="1400" b="1" dirty="0" smtClean="0"/>
                        </a:p>
                        <a:p>
                          <a:pPr>
                            <a:buFont typeface="Arial" pitchFamily="34" charset="0"/>
                            <a:buChar char="•"/>
                          </a:pPr>
                          <a:r>
                            <a:rPr lang="en-US" sz="1400" b="1" dirty="0" err="1" smtClean="0"/>
                            <a:t>Restorationist</a:t>
                          </a:r>
                          <a:r>
                            <a:rPr lang="en-US" sz="1400" b="1" dirty="0" smtClean="0"/>
                            <a:t> – Dominion </a:t>
                          </a:r>
                        </a:p>
                      </a:txBody>
                      <a:useSpRect/>
                    </a:txSp>
                  </a:sp>
                  <a:sp>
                    <a:nvSpPr>
                      <a:cNvPr id="48" name="TextBox 47"/>
                      <a:cNvSpPr txBox="1"/>
                    </a:nvSpPr>
                    <a:spPr>
                      <a:xfrm>
                        <a:off x="6172200" y="5105400"/>
                        <a:ext cx="1752600" cy="95410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buFont typeface="Arial" pitchFamily="34" charset="0"/>
                            <a:buChar char="•"/>
                          </a:pPr>
                          <a:r>
                            <a:rPr lang="en-US" sz="1400" b="1" dirty="0" smtClean="0"/>
                            <a:t>Pentecost</a:t>
                          </a:r>
                          <a:endParaRPr lang="en-US" sz="1400" dirty="0" smtClean="0"/>
                        </a:p>
                        <a:p>
                          <a:pPr>
                            <a:buFont typeface="Arial" pitchFamily="34" charset="0"/>
                            <a:buChar char="•"/>
                          </a:pPr>
                          <a:r>
                            <a:rPr lang="en-US" sz="1400" b="1" dirty="0" smtClean="0"/>
                            <a:t>Ryrie </a:t>
                          </a:r>
                        </a:p>
                        <a:p>
                          <a:pPr>
                            <a:buFont typeface="Arial" pitchFamily="34" charset="0"/>
                            <a:buChar char="•"/>
                          </a:pPr>
                          <a:r>
                            <a:rPr lang="en-US" sz="1400" b="1" dirty="0" err="1" smtClean="0"/>
                            <a:t>Walvoord</a:t>
                          </a:r>
                          <a:endParaRPr lang="en-US" sz="1400" dirty="0" smtClean="0"/>
                        </a:p>
                        <a:p>
                          <a:pPr>
                            <a:buFont typeface="Arial" pitchFamily="34" charset="0"/>
                            <a:buChar char="•"/>
                          </a:pPr>
                          <a:r>
                            <a:rPr lang="en-US" sz="1400" b="1" dirty="0" smtClean="0"/>
                            <a:t>McClain, </a:t>
                          </a:r>
                          <a:r>
                            <a:rPr lang="en-US" sz="1400" b="1" dirty="0" smtClean="0"/>
                            <a:t>Toussaint</a:t>
                          </a:r>
                          <a:endParaRPr lang="en-US" sz="1400" dirty="0"/>
                        </a:p>
                      </a:txBody>
                      <a:useSpRect/>
                    </a:txSp>
                  </a:sp>
                  <a:cxnSp>
                    <a:nvCxnSpPr>
                      <a:cNvPr id="49" name="Straight Connector 48"/>
                      <a:cNvCxnSpPr/>
                    </a:nvCxnSpPr>
                    <a:spPr>
                      <a:xfrm>
                        <a:off x="2133600" y="3886200"/>
                        <a:ext cx="0" cy="45720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50" name="Straight Connector 49"/>
                      <a:cNvCxnSpPr/>
                    </a:nvCxnSpPr>
                    <a:spPr>
                      <a:xfrm>
                        <a:off x="2133600" y="4648200"/>
                        <a:ext cx="0" cy="457200"/>
                      </a:xfrm>
                      <a:prstGeom prst="line">
                        <a:avLst/>
                      </a:prstGeom>
                      <a:ln w="28575"/>
                    </a:spPr>
                    <a:style>
                      <a:lnRef idx="1">
                        <a:schemeClr val="accent1"/>
                      </a:lnRef>
                      <a:fillRef idx="0">
                        <a:schemeClr val="accent1"/>
                      </a:fillRef>
                      <a:effectRef idx="0">
                        <a:schemeClr val="accent1"/>
                      </a:effectRef>
                      <a:fontRef idx="minor">
                        <a:schemeClr val="tx1"/>
                      </a:fontRef>
                    </a:style>
                  </a:cxnSp>
                  <a:sp>
                    <a:nvSpPr>
                      <a:cNvPr id="52" name="TextBox 51"/>
                      <a:cNvSpPr txBox="1"/>
                    </a:nvSpPr>
                    <a:spPr>
                      <a:xfrm>
                        <a:off x="1447800" y="4343400"/>
                        <a:ext cx="12954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b="1" dirty="0" smtClean="0"/>
                            <a:t>Variations</a:t>
                          </a:r>
                          <a:endParaRPr lang="en-US" sz="1400" b="1" dirty="0"/>
                        </a:p>
                      </a:txBody>
                      <a:useSpRect/>
                    </a:txSp>
                  </a:sp>
                  <a:cxnSp>
                    <a:nvCxnSpPr>
                      <a:cNvPr id="53" name="Straight Connector 52"/>
                      <a:cNvCxnSpPr/>
                    </a:nvCxnSpPr>
                    <a:spPr>
                      <a:xfrm>
                        <a:off x="6705600" y="3886200"/>
                        <a:ext cx="0" cy="457200"/>
                      </a:xfrm>
                      <a:prstGeom prst="line">
                        <a:avLst/>
                      </a:prstGeom>
                      <a:ln w="28575"/>
                    </a:spPr>
                    <a:style>
                      <a:lnRef idx="1">
                        <a:schemeClr val="accent1"/>
                      </a:lnRef>
                      <a:fillRef idx="0">
                        <a:schemeClr val="accent1"/>
                      </a:fillRef>
                      <a:effectRef idx="0">
                        <a:schemeClr val="accent1"/>
                      </a:effectRef>
                      <a:fontRef idx="minor">
                        <a:schemeClr val="tx1"/>
                      </a:fontRef>
                    </a:style>
                  </a:cxnSp>
                  <a:cxnSp>
                    <a:nvCxnSpPr>
                      <a:cNvPr id="54" name="Straight Connector 53"/>
                      <a:cNvCxnSpPr/>
                    </a:nvCxnSpPr>
                    <a:spPr>
                      <a:xfrm>
                        <a:off x="6705600" y="4648200"/>
                        <a:ext cx="0" cy="457200"/>
                      </a:xfrm>
                      <a:prstGeom prst="line">
                        <a:avLst/>
                      </a:prstGeom>
                      <a:ln w="28575"/>
                    </a:spPr>
                    <a:style>
                      <a:lnRef idx="1">
                        <a:schemeClr val="accent1"/>
                      </a:lnRef>
                      <a:fillRef idx="0">
                        <a:schemeClr val="accent1"/>
                      </a:fillRef>
                      <a:effectRef idx="0">
                        <a:schemeClr val="accent1"/>
                      </a:effectRef>
                      <a:fontRef idx="minor">
                        <a:schemeClr val="tx1"/>
                      </a:fontRef>
                    </a:style>
                  </a:cxnSp>
                  <a:sp>
                    <a:nvSpPr>
                      <a:cNvPr id="55" name="TextBox 54"/>
                      <a:cNvSpPr txBox="1"/>
                    </a:nvSpPr>
                    <a:spPr>
                      <a:xfrm>
                        <a:off x="6019800" y="4343400"/>
                        <a:ext cx="1295400" cy="30777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1400" b="1" dirty="0" smtClean="0"/>
                            <a:t>Variations</a:t>
                          </a:r>
                          <a:endParaRPr lang="en-US" sz="1400" b="1" dirty="0"/>
                        </a:p>
                      </a:txBody>
                      <a:useSpRect/>
                    </a:txSp>
                  </a:sp>
                  <a:sp>
                    <a:nvSpPr>
                      <a:cNvPr id="56" name="TextBox 55"/>
                      <a:cNvSpPr txBox="1"/>
                    </a:nvSpPr>
                    <a:spPr>
                      <a:xfrm>
                        <a:off x="152400" y="228600"/>
                        <a:ext cx="3124200" cy="52322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400" b="1" dirty="0" smtClean="0"/>
                            <a:t>Classification Tree</a:t>
                          </a:r>
                        </a:p>
                        <a:p>
                          <a:r>
                            <a:rPr lang="en-US" sz="1400" b="1" dirty="0" smtClean="0"/>
                            <a:t>Philippe R. Sterling</a:t>
                          </a:r>
                          <a:endParaRPr lang="en-US" sz="1400" b="1" dirty="0"/>
                        </a:p>
                      </a:txBody>
                      <a:useSpRect/>
                    </a:txSp>
                  </a:sp>
                  <a:sp>
                    <a:nvSpPr>
                      <a:cNvPr id="57" name="TextBox 56"/>
                      <a:cNvSpPr txBox="1"/>
                    </a:nvSpPr>
                    <a:spPr>
                      <a:xfrm>
                        <a:off x="7620000" y="3962400"/>
                        <a:ext cx="1066800" cy="646331"/>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Darby</a:t>
                          </a:r>
                        </a:p>
                        <a:p>
                          <a:r>
                            <a:rPr lang="en-US" sz="1200" b="1" dirty="0" err="1" smtClean="0"/>
                            <a:t>Scofield</a:t>
                          </a:r>
                          <a:endParaRPr lang="en-US" sz="1200" b="1" dirty="0" smtClean="0"/>
                        </a:p>
                        <a:p>
                          <a:r>
                            <a:rPr lang="en-US" sz="1200" b="1" dirty="0" smtClean="0"/>
                            <a:t>Chafer</a:t>
                          </a:r>
                          <a:endParaRPr lang="en-US" sz="1200" b="1" dirty="0"/>
                        </a:p>
                      </a:txBody>
                      <a:useSpRect/>
                    </a:txSp>
                  </a:sp>
                  <a:sp>
                    <a:nvSpPr>
                      <a:cNvPr id="58" name="TextBox 57"/>
                      <a:cNvSpPr txBox="1"/>
                    </a:nvSpPr>
                    <a:spPr>
                      <a:xfrm>
                        <a:off x="4648200" y="3962400"/>
                        <a:ext cx="1066800" cy="1015663"/>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Saucy</a:t>
                          </a:r>
                        </a:p>
                        <a:p>
                          <a:r>
                            <a:rPr lang="en-US" sz="1200" b="1" dirty="0" err="1" smtClean="0"/>
                            <a:t>Blaising</a:t>
                          </a:r>
                          <a:endParaRPr lang="en-US" sz="1200" b="1" dirty="0" smtClean="0"/>
                        </a:p>
                        <a:p>
                          <a:r>
                            <a:rPr lang="en-US" sz="1200" b="1" dirty="0" smtClean="0"/>
                            <a:t>Bock</a:t>
                          </a:r>
                        </a:p>
                        <a:p>
                          <a:r>
                            <a:rPr lang="en-US" sz="1200" b="1" dirty="0" smtClean="0"/>
                            <a:t>Tanner</a:t>
                          </a:r>
                        </a:p>
                        <a:p>
                          <a:r>
                            <a:rPr lang="en-US" sz="1200" b="1" dirty="0" smtClean="0"/>
                            <a:t>Evans</a:t>
                          </a:r>
                          <a:endParaRPr lang="en-US" sz="1200" b="1" dirty="0"/>
                        </a:p>
                      </a:txBody>
                      <a:useSpRect/>
                    </a:txSp>
                  </a:sp>
                  <a:sp>
                    <a:nvSpPr>
                      <a:cNvPr id="51" name="TextBox 50"/>
                      <a:cNvSpPr txBox="1"/>
                    </a:nvSpPr>
                    <a:spPr>
                      <a:xfrm>
                        <a:off x="304800" y="4038600"/>
                        <a:ext cx="1066800" cy="830997"/>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US" sz="1200" b="1" dirty="0" smtClean="0"/>
                            <a:t>Augustine</a:t>
                          </a:r>
                        </a:p>
                        <a:p>
                          <a:r>
                            <a:rPr lang="en-US" sz="1200" b="1" dirty="0" smtClean="0"/>
                            <a:t>Catholic</a:t>
                          </a:r>
                        </a:p>
                        <a:p>
                          <a:r>
                            <a:rPr lang="en-US" sz="1200" b="1" dirty="0" smtClean="0"/>
                            <a:t>Lutheran</a:t>
                          </a:r>
                        </a:p>
                        <a:p>
                          <a:r>
                            <a:rPr lang="en-US" sz="1200" b="1" dirty="0" smtClean="0"/>
                            <a:t>Reformed</a:t>
                          </a:r>
                          <a:endParaRPr lang="en-US" sz="1200" b="1" dirty="0" smtClean="0"/>
                        </a:p>
                      </a:txBody>
                      <a:useSpRect/>
                    </a:txSp>
                  </a:sp>
                </lc:lockedCanvas>
              </a:graphicData>
            </a:graphic>
          </wp:inline>
        </w:drawing>
      </w:r>
      <w:r w:rsidR="00F72EBF">
        <w:rPr>
          <w:rFonts w:cs="Arial"/>
        </w:rPr>
        <w:t xml:space="preserve"> </w:t>
      </w:r>
    </w:p>
    <w:p w:rsidR="003151BC" w:rsidRPr="009F4E9A" w:rsidRDefault="00E27B2B" w:rsidP="003151BC">
      <w:pPr>
        <w:spacing w:line="480" w:lineRule="auto"/>
        <w:ind w:firstLine="432"/>
      </w:pPr>
      <w:r>
        <w:rPr>
          <w:rFonts w:cs="Arial"/>
        </w:rPr>
        <w:t xml:space="preserve">The concept of “already” for the kingdom </w:t>
      </w:r>
      <w:r w:rsidR="00AD7A2A">
        <w:rPr>
          <w:rFonts w:cs="Arial"/>
        </w:rPr>
        <w:t>was introduced</w:t>
      </w:r>
      <w:r>
        <w:rPr>
          <w:rFonts w:cs="Arial"/>
        </w:rPr>
        <w:t xml:space="preserve"> with the realized eschatology of C. H. Dodd</w:t>
      </w:r>
      <w:r w:rsidR="00811200">
        <w:rPr>
          <w:rFonts w:cs="Arial"/>
        </w:rPr>
        <w:t xml:space="preserve"> which</w:t>
      </w:r>
      <w:r>
        <w:rPr>
          <w:rFonts w:cs="Arial"/>
        </w:rPr>
        <w:t xml:space="preserve"> </w:t>
      </w:r>
      <w:r w:rsidR="006B5E1C">
        <w:rPr>
          <w:rFonts w:cs="Arial"/>
        </w:rPr>
        <w:t>set</w:t>
      </w:r>
      <w:r w:rsidR="00AE4D4A">
        <w:rPr>
          <w:rFonts w:cs="Arial"/>
        </w:rPr>
        <w:t xml:space="preserve"> forth</w:t>
      </w:r>
      <w:r w:rsidR="00BD4DAD">
        <w:rPr>
          <w:rFonts w:cs="Arial"/>
        </w:rPr>
        <w:t xml:space="preserve"> that </w:t>
      </w:r>
      <w:r>
        <w:rPr>
          <w:rFonts w:cs="Arial"/>
        </w:rPr>
        <w:t xml:space="preserve">final things have </w:t>
      </w:r>
      <w:r w:rsidR="00EA087D">
        <w:rPr>
          <w:rFonts w:cs="Arial"/>
        </w:rPr>
        <w:t xml:space="preserve">already </w:t>
      </w:r>
      <w:r>
        <w:rPr>
          <w:rFonts w:cs="Arial"/>
        </w:rPr>
        <w:t xml:space="preserve">been realized with </w:t>
      </w:r>
      <w:r w:rsidR="00EA087D">
        <w:rPr>
          <w:rFonts w:cs="Arial"/>
        </w:rPr>
        <w:t>the ministry of Christ</w:t>
      </w:r>
      <w:r>
        <w:rPr>
          <w:rFonts w:cs="Arial"/>
        </w:rPr>
        <w:t>.</w:t>
      </w:r>
      <w:r w:rsidR="00105014">
        <w:rPr>
          <w:rStyle w:val="FootnoteReference"/>
          <w:rFonts w:cs="Arial"/>
        </w:rPr>
        <w:footnoteReference w:id="1"/>
      </w:r>
      <w:r>
        <w:rPr>
          <w:rFonts w:cs="Arial"/>
        </w:rPr>
        <w:t xml:space="preserve"> </w:t>
      </w:r>
      <w:proofErr w:type="spellStart"/>
      <w:r w:rsidR="001D79C4">
        <w:rPr>
          <w:rStyle w:val="st"/>
        </w:rPr>
        <w:t>Geerhardus</w:t>
      </w:r>
      <w:proofErr w:type="spellEnd"/>
      <w:r w:rsidR="001D79C4">
        <w:rPr>
          <w:rStyle w:val="st"/>
        </w:rPr>
        <w:t xml:space="preserve"> </w:t>
      </w:r>
      <w:proofErr w:type="spellStart"/>
      <w:r w:rsidR="001D79C4">
        <w:rPr>
          <w:rStyle w:val="st"/>
        </w:rPr>
        <w:t>Vos</w:t>
      </w:r>
      <w:proofErr w:type="spellEnd"/>
      <w:r w:rsidR="006023FB">
        <w:rPr>
          <w:rStyle w:val="st"/>
        </w:rPr>
        <w:t xml:space="preserve">, an </w:t>
      </w:r>
      <w:proofErr w:type="spellStart"/>
      <w:r w:rsidR="006023FB">
        <w:rPr>
          <w:rStyle w:val="st"/>
        </w:rPr>
        <w:t>amillennialist</w:t>
      </w:r>
      <w:proofErr w:type="spellEnd"/>
      <w:r w:rsidR="006023FB">
        <w:rPr>
          <w:rStyle w:val="st"/>
        </w:rPr>
        <w:t>,</w:t>
      </w:r>
      <w:r w:rsidR="001D79C4">
        <w:rPr>
          <w:rStyle w:val="st"/>
        </w:rPr>
        <w:t xml:space="preserve"> </w:t>
      </w:r>
      <w:r w:rsidR="0027460A">
        <w:rPr>
          <w:rStyle w:val="st"/>
        </w:rPr>
        <w:t>then utilized</w:t>
      </w:r>
      <w:r w:rsidR="001D79C4">
        <w:rPr>
          <w:rStyle w:val="st"/>
        </w:rPr>
        <w:t xml:space="preserve"> t</w:t>
      </w:r>
      <w:r w:rsidR="00582BFF">
        <w:rPr>
          <w:rStyle w:val="st"/>
        </w:rPr>
        <w:t>he concept</w:t>
      </w:r>
      <w:r w:rsidR="00893E59">
        <w:rPr>
          <w:rStyle w:val="st"/>
        </w:rPr>
        <w:t xml:space="preserve"> of the kingdom as </w:t>
      </w:r>
      <w:r w:rsidR="00582BFF" w:rsidRPr="006F33D6">
        <w:rPr>
          <w:rStyle w:val="st"/>
          <w:i/>
        </w:rPr>
        <w:t>“</w:t>
      </w:r>
      <w:r w:rsidR="00582BFF" w:rsidRPr="006F33D6">
        <w:rPr>
          <w:rStyle w:val="Emphasis"/>
          <w:i w:val="0"/>
        </w:rPr>
        <w:t>already</w:t>
      </w:r>
      <w:r w:rsidR="00582BFF" w:rsidRPr="006F33D6">
        <w:rPr>
          <w:rStyle w:val="st"/>
          <w:i/>
        </w:rPr>
        <w:t>”</w:t>
      </w:r>
      <w:r w:rsidR="00582BFF">
        <w:rPr>
          <w:rStyle w:val="st"/>
        </w:rPr>
        <w:t xml:space="preserve"> </w:t>
      </w:r>
      <w:r w:rsidR="00582BFF">
        <w:rPr>
          <w:rStyle w:val="st"/>
        </w:rPr>
        <w:lastRenderedPageBreak/>
        <w:t xml:space="preserve">and </w:t>
      </w:r>
      <w:r w:rsidR="00582BFF" w:rsidRPr="006F33D6">
        <w:rPr>
          <w:rStyle w:val="st"/>
          <w:i/>
        </w:rPr>
        <w:t>“</w:t>
      </w:r>
      <w:r w:rsidR="00582BFF" w:rsidRPr="006F33D6">
        <w:rPr>
          <w:rStyle w:val="Emphasis"/>
          <w:i w:val="0"/>
        </w:rPr>
        <w:t>not yet</w:t>
      </w:r>
      <w:r w:rsidR="00582BFF" w:rsidRPr="006F33D6">
        <w:rPr>
          <w:rStyle w:val="st"/>
          <w:i/>
        </w:rPr>
        <w:t>”</w:t>
      </w:r>
      <w:r w:rsidR="00EA087D">
        <w:rPr>
          <w:rStyle w:val="st"/>
        </w:rPr>
        <w:t xml:space="preserve"> </w:t>
      </w:r>
      <w:r w:rsidR="0027460A">
        <w:rPr>
          <w:rStyle w:val="st"/>
        </w:rPr>
        <w:t>to bring</w:t>
      </w:r>
      <w:r w:rsidR="00EA087D">
        <w:rPr>
          <w:rStyle w:val="st"/>
        </w:rPr>
        <w:t xml:space="preserve"> focus on both </w:t>
      </w:r>
      <w:r w:rsidR="006B5E1C">
        <w:rPr>
          <w:rStyle w:val="st"/>
        </w:rPr>
        <w:t xml:space="preserve">its </w:t>
      </w:r>
      <w:r w:rsidR="001D79C4">
        <w:rPr>
          <w:rStyle w:val="st"/>
        </w:rPr>
        <w:t>present</w:t>
      </w:r>
      <w:r w:rsidR="00215E8E">
        <w:rPr>
          <w:rStyle w:val="st"/>
        </w:rPr>
        <w:t xml:space="preserve"> inauguration and future </w:t>
      </w:r>
      <w:r w:rsidR="00364A4A">
        <w:rPr>
          <w:rStyle w:val="st"/>
        </w:rPr>
        <w:t>consum</w:t>
      </w:r>
      <w:r w:rsidR="00893E59">
        <w:rPr>
          <w:rStyle w:val="st"/>
        </w:rPr>
        <w:t>mation</w:t>
      </w:r>
      <w:r w:rsidR="00177554">
        <w:rPr>
          <w:rStyle w:val="st"/>
        </w:rPr>
        <w:t>.</w:t>
      </w:r>
      <w:r w:rsidR="006023FB">
        <w:rPr>
          <w:rStyle w:val="FootnoteReference"/>
        </w:rPr>
        <w:footnoteReference w:id="2"/>
      </w:r>
      <w:r w:rsidR="00582BFF">
        <w:rPr>
          <w:rStyle w:val="st"/>
        </w:rPr>
        <w:t xml:space="preserve"> </w:t>
      </w:r>
      <w:r w:rsidR="001D79C4">
        <w:rPr>
          <w:rStyle w:val="st"/>
        </w:rPr>
        <w:t xml:space="preserve">George Eldon Ladd </w:t>
      </w:r>
      <w:r w:rsidR="00582BFF">
        <w:rPr>
          <w:rStyle w:val="st"/>
        </w:rPr>
        <w:t>p</w:t>
      </w:r>
      <w:r w:rsidR="00177554">
        <w:rPr>
          <w:rStyle w:val="st"/>
        </w:rPr>
        <w:t>opulariz</w:t>
      </w:r>
      <w:r w:rsidR="006023FB">
        <w:rPr>
          <w:rStyle w:val="st"/>
        </w:rPr>
        <w:t xml:space="preserve">ed the </w:t>
      </w:r>
      <w:r w:rsidR="001D1569">
        <w:rPr>
          <w:rStyle w:val="st"/>
        </w:rPr>
        <w:t xml:space="preserve">two </w:t>
      </w:r>
      <w:r w:rsidR="006023FB">
        <w:rPr>
          <w:rStyle w:val="st"/>
        </w:rPr>
        <w:t xml:space="preserve">terms for </w:t>
      </w:r>
      <w:r w:rsidR="00F048E5">
        <w:rPr>
          <w:rStyle w:val="st"/>
        </w:rPr>
        <w:t>historic/</w:t>
      </w:r>
      <w:r w:rsidR="006023FB">
        <w:rPr>
          <w:rStyle w:val="st"/>
        </w:rPr>
        <w:t xml:space="preserve">covenant </w:t>
      </w:r>
      <w:proofErr w:type="spellStart"/>
      <w:r w:rsidR="006023FB">
        <w:rPr>
          <w:rStyle w:val="st"/>
        </w:rPr>
        <w:t>premillennialists</w:t>
      </w:r>
      <w:proofErr w:type="spellEnd"/>
      <w:r w:rsidR="00893E59">
        <w:rPr>
          <w:rStyle w:val="st"/>
        </w:rPr>
        <w:t>.</w:t>
      </w:r>
      <w:r w:rsidR="00FD24E1">
        <w:rPr>
          <w:rStyle w:val="FootnoteReference"/>
        </w:rPr>
        <w:footnoteReference w:id="3"/>
      </w:r>
      <w:r w:rsidR="00215E8E">
        <w:rPr>
          <w:rStyle w:val="st"/>
        </w:rPr>
        <w:t xml:space="preserve">  </w:t>
      </w:r>
      <w:r w:rsidR="0027460A">
        <w:rPr>
          <w:rStyle w:val="st"/>
        </w:rPr>
        <w:t>P</w:t>
      </w:r>
      <w:r w:rsidR="006023FB">
        <w:rPr>
          <w:rStyle w:val="st"/>
        </w:rPr>
        <w:t xml:space="preserve">rogressive dispensational </w:t>
      </w:r>
      <w:proofErr w:type="spellStart"/>
      <w:r w:rsidR="006023FB">
        <w:rPr>
          <w:rStyle w:val="st"/>
        </w:rPr>
        <w:t>p</w:t>
      </w:r>
      <w:r w:rsidR="007E7BF7">
        <w:rPr>
          <w:rStyle w:val="st"/>
        </w:rPr>
        <w:t>remillennialists</w:t>
      </w:r>
      <w:proofErr w:type="spellEnd"/>
      <w:r w:rsidR="0027460A">
        <w:rPr>
          <w:rStyle w:val="st"/>
        </w:rPr>
        <w:t xml:space="preserve"> </w:t>
      </w:r>
      <w:r w:rsidR="00AD7A2A">
        <w:rPr>
          <w:rStyle w:val="st"/>
        </w:rPr>
        <w:t xml:space="preserve">now </w:t>
      </w:r>
      <w:r w:rsidR="0027460A">
        <w:rPr>
          <w:rStyle w:val="st"/>
        </w:rPr>
        <w:t>employ</w:t>
      </w:r>
      <w:r w:rsidR="006023FB">
        <w:rPr>
          <w:rStyle w:val="st"/>
        </w:rPr>
        <w:t xml:space="preserve"> the </w:t>
      </w:r>
      <w:r w:rsidR="001D1569">
        <w:rPr>
          <w:rStyle w:val="st"/>
        </w:rPr>
        <w:t xml:space="preserve">two </w:t>
      </w:r>
      <w:r w:rsidR="006023FB">
        <w:rPr>
          <w:rStyle w:val="st"/>
        </w:rPr>
        <w:t>terms</w:t>
      </w:r>
      <w:r w:rsidR="0027460A">
        <w:rPr>
          <w:rStyle w:val="st"/>
        </w:rPr>
        <w:t xml:space="preserve"> </w:t>
      </w:r>
      <w:r w:rsidR="00EE4011">
        <w:rPr>
          <w:rStyle w:val="st"/>
        </w:rPr>
        <w:t>to describe the</w:t>
      </w:r>
      <w:r w:rsidR="006023FB">
        <w:rPr>
          <w:rStyle w:val="st"/>
        </w:rPr>
        <w:t xml:space="preserve"> concept</w:t>
      </w:r>
      <w:r w:rsidR="00EE4011">
        <w:rPr>
          <w:rStyle w:val="st"/>
        </w:rPr>
        <w:t xml:space="preserve"> of a presently</w:t>
      </w:r>
      <w:r w:rsidR="006023FB">
        <w:rPr>
          <w:rStyle w:val="st"/>
        </w:rPr>
        <w:t xml:space="preserve"> inaugurated kingdom</w:t>
      </w:r>
      <w:r w:rsidR="00EE4011">
        <w:rPr>
          <w:rStyle w:val="st"/>
        </w:rPr>
        <w:t xml:space="preserve"> and a future earthly kingdom</w:t>
      </w:r>
      <w:r w:rsidR="006023FB">
        <w:rPr>
          <w:rStyle w:val="st"/>
        </w:rPr>
        <w:t>.</w:t>
      </w:r>
      <w:r w:rsidR="00EE4011">
        <w:rPr>
          <w:rStyle w:val="FootnoteReference"/>
        </w:rPr>
        <w:footnoteReference w:id="4"/>
      </w:r>
      <w:r w:rsidR="006023FB">
        <w:rPr>
          <w:rStyle w:val="st"/>
        </w:rPr>
        <w:t xml:space="preserve"> </w:t>
      </w:r>
      <w:r w:rsidR="0027460A">
        <w:rPr>
          <w:rStyle w:val="st"/>
        </w:rPr>
        <w:t xml:space="preserve">Keith </w:t>
      </w:r>
      <w:r w:rsidR="006B5E1C">
        <w:rPr>
          <w:rStyle w:val="st"/>
        </w:rPr>
        <w:t xml:space="preserve">A. </w:t>
      </w:r>
      <w:proofErr w:type="spellStart"/>
      <w:r w:rsidR="0027460A">
        <w:rPr>
          <w:rStyle w:val="st"/>
        </w:rPr>
        <w:t>Mathison</w:t>
      </w:r>
      <w:proofErr w:type="spellEnd"/>
      <w:r w:rsidR="0027460A">
        <w:rPr>
          <w:rStyle w:val="st"/>
        </w:rPr>
        <w:t xml:space="preserve">, a postmillennialist, </w:t>
      </w:r>
      <w:r w:rsidR="001D1569">
        <w:rPr>
          <w:rStyle w:val="st"/>
        </w:rPr>
        <w:t>adds</w:t>
      </w:r>
      <w:r w:rsidR="0027460A">
        <w:rPr>
          <w:rStyle w:val="st"/>
        </w:rPr>
        <w:t xml:space="preserve"> t</w:t>
      </w:r>
      <w:r w:rsidR="00215E8E">
        <w:rPr>
          <w:rStyle w:val="st"/>
        </w:rPr>
        <w:t xml:space="preserve">he </w:t>
      </w:r>
      <w:r w:rsidR="003556A7">
        <w:rPr>
          <w:rStyle w:val="st"/>
        </w:rPr>
        <w:t xml:space="preserve">term </w:t>
      </w:r>
      <w:r w:rsidR="00215E8E">
        <w:rPr>
          <w:rStyle w:val="st"/>
        </w:rPr>
        <w:t xml:space="preserve">“now” </w:t>
      </w:r>
      <w:r w:rsidR="003556A7">
        <w:rPr>
          <w:rStyle w:val="st"/>
        </w:rPr>
        <w:t>to characterize</w:t>
      </w:r>
      <w:r w:rsidR="00215E8E">
        <w:rPr>
          <w:rStyle w:val="st"/>
        </w:rPr>
        <w:t xml:space="preserve"> the </w:t>
      </w:r>
      <w:r w:rsidR="003556A7">
        <w:rPr>
          <w:rStyle w:val="st"/>
        </w:rPr>
        <w:t xml:space="preserve">concept of the </w:t>
      </w:r>
      <w:r w:rsidR="00215E8E">
        <w:rPr>
          <w:rStyle w:val="st"/>
        </w:rPr>
        <w:t>progression of the kingdom</w:t>
      </w:r>
      <w:r w:rsidR="00BD4DAD">
        <w:rPr>
          <w:rStyle w:val="st"/>
        </w:rPr>
        <w:t xml:space="preserve"> in the present age</w:t>
      </w:r>
      <w:r w:rsidR="0027460A">
        <w:rPr>
          <w:rStyle w:val="st"/>
        </w:rPr>
        <w:t xml:space="preserve"> along with “already” and “not yet” for its inauguration and consummation</w:t>
      </w:r>
      <w:r w:rsidR="00215E8E">
        <w:rPr>
          <w:rStyle w:val="st"/>
        </w:rPr>
        <w:t>.</w:t>
      </w:r>
      <w:r w:rsidR="007E7BF7">
        <w:rPr>
          <w:rStyle w:val="FootnoteReference"/>
        </w:rPr>
        <w:footnoteReference w:id="5"/>
      </w:r>
      <w:r w:rsidR="00EA087D">
        <w:rPr>
          <w:rStyle w:val="st"/>
        </w:rPr>
        <w:t xml:space="preserve">  </w:t>
      </w:r>
      <w:r w:rsidR="001D1569">
        <w:rPr>
          <w:rStyle w:val="st"/>
        </w:rPr>
        <w:t>Stanley Tou</w:t>
      </w:r>
      <w:r w:rsidR="00F139A1">
        <w:rPr>
          <w:rStyle w:val="st"/>
        </w:rPr>
        <w:t>ssaint employs “no, not yet”</w:t>
      </w:r>
      <w:r w:rsidR="00ED38E5">
        <w:rPr>
          <w:rStyle w:val="st"/>
        </w:rPr>
        <w:t xml:space="preserve"> to characterize </w:t>
      </w:r>
      <w:r w:rsidR="00AD7A2A">
        <w:rPr>
          <w:rStyle w:val="st"/>
        </w:rPr>
        <w:t>his</w:t>
      </w:r>
      <w:r w:rsidR="00F139A1">
        <w:rPr>
          <w:rStyle w:val="st"/>
        </w:rPr>
        <w:t xml:space="preserve"> view of a completely future messianic kingdom.</w:t>
      </w:r>
      <w:r w:rsidR="00F139A1">
        <w:rPr>
          <w:rStyle w:val="FootnoteReference"/>
        </w:rPr>
        <w:footnoteReference w:id="6"/>
      </w:r>
      <w:r w:rsidR="00F139A1">
        <w:rPr>
          <w:rStyle w:val="st"/>
        </w:rPr>
        <w:t xml:space="preserve">  </w:t>
      </w:r>
      <w:r w:rsidR="00EA087D">
        <w:rPr>
          <w:rStyle w:val="st"/>
        </w:rPr>
        <w:t>The</w:t>
      </w:r>
      <w:r w:rsidR="00ED38E5">
        <w:rPr>
          <w:rStyle w:val="st"/>
        </w:rPr>
        <w:t xml:space="preserve"> following sections </w:t>
      </w:r>
      <w:r w:rsidR="007E7BF7">
        <w:rPr>
          <w:rStyle w:val="st"/>
        </w:rPr>
        <w:t>classify the</w:t>
      </w:r>
      <w:r w:rsidR="00ED38E5">
        <w:rPr>
          <w:rStyle w:val="st"/>
        </w:rPr>
        <w:t xml:space="preserve"> </w:t>
      </w:r>
      <w:r w:rsidR="00EA087D">
        <w:rPr>
          <w:rStyle w:val="st"/>
        </w:rPr>
        <w:t>evangelical ki</w:t>
      </w:r>
      <w:r w:rsidR="007E7BF7">
        <w:rPr>
          <w:rStyle w:val="st"/>
        </w:rPr>
        <w:t>ngdom views</w:t>
      </w:r>
      <w:r w:rsidR="00EA087D">
        <w:rPr>
          <w:rStyle w:val="st"/>
        </w:rPr>
        <w:t xml:space="preserve"> under the </w:t>
      </w:r>
      <w:r w:rsidR="007E7BF7">
        <w:rPr>
          <w:rStyle w:val="st"/>
        </w:rPr>
        <w:t>headings</w:t>
      </w:r>
      <w:r w:rsidR="00EA087D">
        <w:rPr>
          <w:rStyle w:val="st"/>
        </w:rPr>
        <w:t xml:space="preserve"> of “already/now/not yet”, “already/not yet”, and “not yet”.</w:t>
      </w:r>
      <w:r w:rsidR="00105014">
        <w:rPr>
          <w:rStyle w:val="st"/>
        </w:rPr>
        <w:t xml:space="preserve"> </w:t>
      </w:r>
    </w:p>
    <w:p w:rsidR="00AB3D63" w:rsidRDefault="009F4E9A" w:rsidP="009F4E9A">
      <w:pPr>
        <w:pStyle w:val="ListParagraph"/>
        <w:numPr>
          <w:ilvl w:val="0"/>
          <w:numId w:val="1"/>
        </w:numPr>
        <w:spacing w:line="480" w:lineRule="auto"/>
        <w:ind w:left="360"/>
        <w:rPr>
          <w:rFonts w:cs="Arial"/>
          <w:b/>
        </w:rPr>
      </w:pPr>
      <w:r>
        <w:rPr>
          <w:rFonts w:cs="Arial"/>
          <w:b/>
        </w:rPr>
        <w:t>ALREADY/NOW/NOT YET VIEWS</w:t>
      </w:r>
    </w:p>
    <w:p w:rsidR="009F4E9A" w:rsidRDefault="009F4E9A" w:rsidP="0027460A">
      <w:pPr>
        <w:pStyle w:val="ListParagraph"/>
        <w:numPr>
          <w:ilvl w:val="0"/>
          <w:numId w:val="2"/>
        </w:numPr>
        <w:ind w:left="360"/>
        <w:rPr>
          <w:rFonts w:cs="Arial"/>
          <w:i/>
        </w:rPr>
      </w:pPr>
      <w:proofErr w:type="spellStart"/>
      <w:r w:rsidRPr="009F4E9A">
        <w:rPr>
          <w:rFonts w:cs="Arial"/>
          <w:i/>
        </w:rPr>
        <w:t>Amillennialism</w:t>
      </w:r>
      <w:proofErr w:type="spellEnd"/>
      <w:r w:rsidRPr="009F4E9A">
        <w:rPr>
          <w:rFonts w:cs="Arial"/>
          <w:i/>
        </w:rPr>
        <w:t xml:space="preserve"> (Present </w:t>
      </w:r>
      <w:r w:rsidR="0028747D">
        <w:rPr>
          <w:rFonts w:cs="Arial"/>
          <w:i/>
        </w:rPr>
        <w:t>or Realized Millennialism</w:t>
      </w:r>
      <w:r w:rsidR="00751FA2">
        <w:rPr>
          <w:rFonts w:cs="Arial"/>
          <w:i/>
        </w:rPr>
        <w:t>) – Kingdom Inauguration/Continuation/</w:t>
      </w:r>
      <w:r w:rsidR="000A0A2C">
        <w:rPr>
          <w:rFonts w:cs="Arial"/>
          <w:i/>
        </w:rPr>
        <w:t xml:space="preserve"> </w:t>
      </w:r>
      <w:r w:rsidR="00751FA2">
        <w:rPr>
          <w:rFonts w:cs="Arial"/>
          <w:i/>
        </w:rPr>
        <w:t>Consummation</w:t>
      </w:r>
    </w:p>
    <w:p w:rsidR="0027460A" w:rsidRDefault="0027460A" w:rsidP="0027460A">
      <w:pPr>
        <w:rPr>
          <w:rFonts w:cs="Arial"/>
          <w:i/>
        </w:rPr>
      </w:pPr>
    </w:p>
    <w:p w:rsidR="00ED38E5" w:rsidRDefault="00AF3212" w:rsidP="00231ABB">
      <w:pPr>
        <w:spacing w:line="480" w:lineRule="auto"/>
        <w:ind w:firstLine="432"/>
        <w:rPr>
          <w:rFonts w:cs="Arial"/>
        </w:rPr>
      </w:pPr>
      <w:proofErr w:type="spellStart"/>
      <w:r>
        <w:rPr>
          <w:rFonts w:cs="Arial"/>
        </w:rPr>
        <w:t>Amillennialism</w:t>
      </w:r>
      <w:proofErr w:type="spellEnd"/>
      <w:r>
        <w:rPr>
          <w:rFonts w:cs="Arial"/>
        </w:rPr>
        <w:t xml:space="preserve"> </w:t>
      </w:r>
      <w:r w:rsidR="006B5E1C">
        <w:rPr>
          <w:rFonts w:cs="Arial"/>
        </w:rPr>
        <w:t>assert</w:t>
      </w:r>
      <w:r w:rsidR="00AE4D4A">
        <w:rPr>
          <w:rFonts w:cs="Arial"/>
        </w:rPr>
        <w:t>s</w:t>
      </w:r>
      <w:r>
        <w:rPr>
          <w:rFonts w:cs="Arial"/>
        </w:rPr>
        <w:t xml:space="preserve"> that the kingdom of God is now present in the world.</w:t>
      </w:r>
      <w:r w:rsidR="00231ABB">
        <w:rPr>
          <w:rStyle w:val="FootnoteReference"/>
          <w:rFonts w:cs="Arial"/>
        </w:rPr>
        <w:footnoteReference w:id="7"/>
      </w:r>
      <w:r w:rsidR="00231ABB">
        <w:rPr>
          <w:rFonts w:cs="Arial"/>
        </w:rPr>
        <w:t xml:space="preserve">  </w:t>
      </w:r>
      <w:r w:rsidR="00936350">
        <w:rPr>
          <w:rFonts w:cs="Arial"/>
        </w:rPr>
        <w:t xml:space="preserve">This is the view of many </w:t>
      </w:r>
      <w:r w:rsidR="009373ED">
        <w:rPr>
          <w:rFonts w:cs="Arial"/>
        </w:rPr>
        <w:t xml:space="preserve">Catholic, </w:t>
      </w:r>
      <w:r w:rsidR="00936350">
        <w:rPr>
          <w:rFonts w:cs="Arial"/>
        </w:rPr>
        <w:t xml:space="preserve">Lutheran and Reformed theologians.  </w:t>
      </w:r>
      <w:r w:rsidR="00AE4D4A">
        <w:rPr>
          <w:rFonts w:cs="Arial"/>
        </w:rPr>
        <w:t xml:space="preserve">The kingdom was inaugurated at the first coming of Christ, continues throughout history, and will be consummated at the Second Coming of Christ with the new heaven and the new earth.  </w:t>
      </w:r>
      <w:r w:rsidR="00E9449B">
        <w:rPr>
          <w:rFonts w:cs="Arial"/>
        </w:rPr>
        <w:t xml:space="preserve">The Second Coming will be without a millennium.  The present age is the realized millennium. </w:t>
      </w:r>
      <w:proofErr w:type="spellStart"/>
      <w:r w:rsidR="00231ABB">
        <w:rPr>
          <w:rFonts w:cs="Arial"/>
        </w:rPr>
        <w:t>Hoekema</w:t>
      </w:r>
      <w:proofErr w:type="spellEnd"/>
      <w:r w:rsidR="00231ABB">
        <w:rPr>
          <w:rFonts w:cs="Arial"/>
        </w:rPr>
        <w:t xml:space="preserve"> provides a general description:</w:t>
      </w:r>
    </w:p>
    <w:p w:rsidR="00231ABB" w:rsidRDefault="00C1420B" w:rsidP="009839C3">
      <w:pPr>
        <w:ind w:left="720"/>
        <w:rPr>
          <w:rFonts w:cs="Arial"/>
          <w:sz w:val="20"/>
          <w:szCs w:val="20"/>
        </w:rPr>
      </w:pPr>
      <w:r w:rsidRPr="00C1420B">
        <w:rPr>
          <w:rFonts w:cs="Arial"/>
          <w:sz w:val="20"/>
          <w:szCs w:val="20"/>
        </w:rPr>
        <w:lastRenderedPageBreak/>
        <w:t xml:space="preserve">. . . </w:t>
      </w:r>
      <w:proofErr w:type="gramStart"/>
      <w:r w:rsidRPr="00C1420B">
        <w:rPr>
          <w:rFonts w:cs="Arial"/>
          <w:sz w:val="20"/>
          <w:szCs w:val="20"/>
        </w:rPr>
        <w:t>the</w:t>
      </w:r>
      <w:proofErr w:type="gramEnd"/>
      <w:r w:rsidRPr="00C1420B">
        <w:rPr>
          <w:rFonts w:cs="Arial"/>
          <w:sz w:val="20"/>
          <w:szCs w:val="20"/>
        </w:rPr>
        <w:t xml:space="preserve"> kingdom of God is now present in the world as the victorious </w:t>
      </w:r>
      <w:r>
        <w:rPr>
          <w:rFonts w:cs="Arial"/>
          <w:sz w:val="20"/>
          <w:szCs w:val="20"/>
        </w:rPr>
        <w:t xml:space="preserve">Christ is ruling his people by his word and Spirit, though they also look forward to a future, glorious, and perfect kingdom on the new earth in the life to come.  Despite the fact that Christ has won a decisive victory over sin and evil, the kingdom of evil will continue to exist alongside of the kingdom of God until the end of the world . . . The </w:t>
      </w:r>
      <w:proofErr w:type="spellStart"/>
      <w:r>
        <w:rPr>
          <w:rFonts w:cs="Arial"/>
          <w:sz w:val="20"/>
          <w:szCs w:val="20"/>
        </w:rPr>
        <w:t>amillennialist</w:t>
      </w:r>
      <w:proofErr w:type="spellEnd"/>
      <w:r>
        <w:rPr>
          <w:rFonts w:cs="Arial"/>
          <w:sz w:val="20"/>
          <w:szCs w:val="20"/>
        </w:rPr>
        <w:t xml:space="preserve"> therefore expects the bringing of the gospel to all nations and the conversion of the fullness of Israel to be completed before Christ’s return.  He also looks for an intensified form of tribulation and apostasy as well as the appearance of a personal antichrist before the Second coming.</w:t>
      </w:r>
    </w:p>
    <w:p w:rsidR="00C1420B" w:rsidRDefault="00C1420B" w:rsidP="00231ABB">
      <w:pPr>
        <w:ind w:left="432"/>
        <w:rPr>
          <w:rFonts w:cs="Arial"/>
          <w:sz w:val="20"/>
          <w:szCs w:val="20"/>
        </w:rPr>
      </w:pPr>
    </w:p>
    <w:p w:rsidR="00C1420B" w:rsidRPr="00C1420B" w:rsidRDefault="000646DE" w:rsidP="009839C3">
      <w:pPr>
        <w:ind w:left="720"/>
        <w:rPr>
          <w:rFonts w:cs="Arial"/>
          <w:sz w:val="20"/>
          <w:szCs w:val="20"/>
        </w:rPr>
      </w:pPr>
      <w:r>
        <w:rPr>
          <w:rFonts w:cs="Arial"/>
          <w:sz w:val="20"/>
          <w:szCs w:val="20"/>
        </w:rPr>
        <w:t xml:space="preserve"> . . . After the resurrection</w:t>
      </w:r>
      <w:r w:rsidR="00282945">
        <w:rPr>
          <w:rFonts w:cs="Arial"/>
          <w:sz w:val="20"/>
          <w:szCs w:val="20"/>
        </w:rPr>
        <w:t xml:space="preserve"> [general resurrection of believers and unbelievers]</w:t>
      </w:r>
      <w:r>
        <w:rPr>
          <w:rFonts w:cs="Arial"/>
          <w:sz w:val="20"/>
          <w:szCs w:val="20"/>
        </w:rPr>
        <w:t>, believers who are then still alive shall be transformed and glorified.  These two groups, raised believers and transformed believers, are then caught up in the clouds to meet the Lord in the air.  After this ‘rapture’ of all believers, Christ will complete his descent to earth and conduct the final judgment.  After the judgment unbelievers will be consigned to eternal punishment, whereas believers will enjoy forever the blessings of the new heaven and the new earth.</w:t>
      </w:r>
      <w:r>
        <w:rPr>
          <w:rStyle w:val="FootnoteReference"/>
          <w:rFonts w:cs="Arial"/>
          <w:sz w:val="20"/>
          <w:szCs w:val="20"/>
        </w:rPr>
        <w:footnoteReference w:id="8"/>
      </w:r>
    </w:p>
    <w:p w:rsidR="00ED38E5" w:rsidRDefault="00ED38E5" w:rsidP="0027460A">
      <w:pPr>
        <w:rPr>
          <w:rFonts w:cs="Arial"/>
          <w:i/>
        </w:rPr>
      </w:pPr>
    </w:p>
    <w:p w:rsidR="00A0430F" w:rsidRPr="00657A6B" w:rsidRDefault="001E37A1" w:rsidP="00657A6B">
      <w:pPr>
        <w:ind w:firstLine="432"/>
        <w:rPr>
          <w:rFonts w:cs="Arial"/>
        </w:rPr>
      </w:pPr>
      <w:r>
        <w:rPr>
          <w:rFonts w:cs="Arial"/>
        </w:rPr>
        <w:t xml:space="preserve">The following chart exhibits some of the elements </w:t>
      </w:r>
      <w:r w:rsidR="00A0430F">
        <w:rPr>
          <w:rFonts w:cs="Arial"/>
        </w:rPr>
        <w:t xml:space="preserve">of the </w:t>
      </w:r>
      <w:proofErr w:type="spellStart"/>
      <w:r w:rsidR="00A0430F">
        <w:rPr>
          <w:rFonts w:cs="Arial"/>
        </w:rPr>
        <w:t>amillennial</w:t>
      </w:r>
      <w:proofErr w:type="spellEnd"/>
      <w:r w:rsidR="00A0430F">
        <w:rPr>
          <w:rFonts w:cs="Arial"/>
        </w:rPr>
        <w:t xml:space="preserve"> </w:t>
      </w:r>
      <w:r w:rsidR="0028747D">
        <w:rPr>
          <w:rFonts w:cs="Arial"/>
        </w:rPr>
        <w:t xml:space="preserve">kingdom </w:t>
      </w:r>
      <w:r w:rsidR="00A0430F">
        <w:rPr>
          <w:rFonts w:cs="Arial"/>
        </w:rPr>
        <w:t>view:</w:t>
      </w:r>
      <w:r w:rsidR="00E9449B">
        <w:rPr>
          <w:rStyle w:val="FootnoteReference"/>
          <w:rFonts w:cs="Arial"/>
        </w:rPr>
        <w:footnoteReference w:id="9"/>
      </w:r>
    </w:p>
    <w:p w:rsidR="001D7063" w:rsidRDefault="001D7063" w:rsidP="00630543">
      <w:pPr>
        <w:spacing w:line="480" w:lineRule="auto"/>
        <w:rPr>
          <w:rFonts w:cs="Arial"/>
        </w:rPr>
      </w:pPr>
      <w:r w:rsidRPr="001D7063">
        <w:rPr>
          <w:rFonts w:cs="Arial"/>
          <w:noProof/>
        </w:rPr>
        <w:drawing>
          <wp:inline distT="0" distB="0" distL="0" distR="0">
            <wp:extent cx="5943600" cy="2595245"/>
            <wp:effectExtent l="1905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cstate="print"/>
                    <a:srcRect/>
                    <a:stretch>
                      <a:fillRect/>
                    </a:stretch>
                  </pic:blipFill>
                  <pic:spPr bwMode="auto">
                    <a:xfrm>
                      <a:off x="0" y="0"/>
                      <a:ext cx="5943600" cy="2595245"/>
                    </a:xfrm>
                    <a:prstGeom prst="rect">
                      <a:avLst/>
                    </a:prstGeom>
                    <a:noFill/>
                    <a:ln w="9525">
                      <a:noFill/>
                      <a:miter lim="800000"/>
                      <a:headEnd/>
                      <a:tailEnd/>
                    </a:ln>
                  </pic:spPr>
                </pic:pic>
              </a:graphicData>
            </a:graphic>
          </wp:inline>
        </w:drawing>
      </w:r>
    </w:p>
    <w:p w:rsidR="00AE4D4A" w:rsidRDefault="000B2495" w:rsidP="001F7476">
      <w:pPr>
        <w:spacing w:line="480" w:lineRule="auto"/>
        <w:ind w:firstLine="432"/>
        <w:rPr>
          <w:rFonts w:cs="Arial"/>
        </w:rPr>
      </w:pPr>
      <w:r>
        <w:rPr>
          <w:rFonts w:cs="Arial"/>
        </w:rPr>
        <w:t xml:space="preserve">The </w:t>
      </w:r>
      <w:proofErr w:type="spellStart"/>
      <w:r>
        <w:rPr>
          <w:rFonts w:cs="Arial"/>
        </w:rPr>
        <w:t>amillennial</w:t>
      </w:r>
      <w:proofErr w:type="spellEnd"/>
      <w:r>
        <w:rPr>
          <w:rFonts w:cs="Arial"/>
        </w:rPr>
        <w:t xml:space="preserve"> kingdom view regards</w:t>
      </w:r>
      <w:r w:rsidR="00936350">
        <w:rPr>
          <w:rFonts w:cs="Arial"/>
        </w:rPr>
        <w:t xml:space="preserve"> t</w:t>
      </w:r>
      <w:r>
        <w:rPr>
          <w:rFonts w:cs="Arial"/>
        </w:rPr>
        <w:t>he church a</w:t>
      </w:r>
      <w:r w:rsidR="00936350">
        <w:rPr>
          <w:rFonts w:cs="Arial"/>
        </w:rPr>
        <w:t>s the new Israel.</w:t>
      </w:r>
      <w:r w:rsidR="008456DD">
        <w:rPr>
          <w:rStyle w:val="FootnoteReference"/>
          <w:rFonts w:cs="Arial"/>
        </w:rPr>
        <w:footnoteReference w:id="10"/>
      </w:r>
      <w:r w:rsidR="0028747D">
        <w:rPr>
          <w:rFonts w:cs="Arial"/>
        </w:rPr>
        <w:t xml:space="preserve">  Christ and the church </w:t>
      </w:r>
      <w:r w:rsidR="00927149">
        <w:rPr>
          <w:rFonts w:cs="Arial"/>
        </w:rPr>
        <w:t xml:space="preserve">spiritually </w:t>
      </w:r>
      <w:r w:rsidR="0028747D">
        <w:rPr>
          <w:rFonts w:cs="Arial"/>
        </w:rPr>
        <w:t>fulfill in this age the promises made to national Israel.</w:t>
      </w:r>
    </w:p>
    <w:p w:rsidR="000A0A2C" w:rsidRPr="0028747D" w:rsidRDefault="000B2495" w:rsidP="0028747D">
      <w:pPr>
        <w:spacing w:line="480" w:lineRule="auto"/>
        <w:ind w:firstLine="432"/>
        <w:rPr>
          <w:rFonts w:cs="Arial"/>
        </w:rPr>
      </w:pPr>
      <w:r>
        <w:rPr>
          <w:rFonts w:cs="Arial"/>
        </w:rPr>
        <w:t xml:space="preserve">The </w:t>
      </w:r>
      <w:proofErr w:type="spellStart"/>
      <w:r>
        <w:rPr>
          <w:rFonts w:cs="Arial"/>
        </w:rPr>
        <w:t>amille</w:t>
      </w:r>
      <w:r w:rsidR="001A5199">
        <w:rPr>
          <w:rFonts w:cs="Arial"/>
        </w:rPr>
        <w:t>nnial</w:t>
      </w:r>
      <w:proofErr w:type="spellEnd"/>
      <w:r w:rsidR="001A5199">
        <w:rPr>
          <w:rFonts w:cs="Arial"/>
        </w:rPr>
        <w:t xml:space="preserve"> kingdom view </w:t>
      </w:r>
      <w:r w:rsidR="002E605D">
        <w:rPr>
          <w:rFonts w:cs="Arial"/>
        </w:rPr>
        <w:t>embraces</w:t>
      </w:r>
      <w:r>
        <w:rPr>
          <w:rFonts w:cs="Arial"/>
        </w:rPr>
        <w:t xml:space="preserve"> </w:t>
      </w:r>
      <w:r w:rsidR="00936350">
        <w:rPr>
          <w:rFonts w:cs="Arial"/>
        </w:rPr>
        <w:t>a “cultural mandate”</w:t>
      </w:r>
      <w:r w:rsidR="002E605D">
        <w:rPr>
          <w:rFonts w:cs="Arial"/>
        </w:rPr>
        <w:t xml:space="preserve"> for</w:t>
      </w:r>
      <w:r>
        <w:rPr>
          <w:rFonts w:cs="Arial"/>
        </w:rPr>
        <w:t xml:space="preserve"> the present kingdom age</w:t>
      </w:r>
      <w:r w:rsidR="002E605D">
        <w:rPr>
          <w:rFonts w:cs="Arial"/>
        </w:rPr>
        <w:t>.</w:t>
      </w:r>
      <w:r w:rsidR="00253873">
        <w:rPr>
          <w:rStyle w:val="FootnoteReference"/>
          <w:rFonts w:cs="Arial"/>
        </w:rPr>
        <w:footnoteReference w:id="11"/>
      </w:r>
      <w:r w:rsidR="002E605D">
        <w:rPr>
          <w:rFonts w:cs="Arial"/>
        </w:rPr>
        <w:t xml:space="preserve">  The mandate concerns the </w:t>
      </w:r>
      <w:r w:rsidR="00253873">
        <w:rPr>
          <w:rFonts w:cs="Arial"/>
        </w:rPr>
        <w:t>transformation and redeeming of</w:t>
      </w:r>
      <w:r w:rsidR="002E605D">
        <w:rPr>
          <w:rFonts w:cs="Arial"/>
        </w:rPr>
        <w:t xml:space="preserve"> culture.  </w:t>
      </w:r>
      <w:r w:rsidR="00282945">
        <w:rPr>
          <w:rFonts w:cs="Arial"/>
        </w:rPr>
        <w:t>Christians</w:t>
      </w:r>
      <w:r w:rsidR="00C67738">
        <w:rPr>
          <w:rFonts w:cs="Arial"/>
        </w:rPr>
        <w:t xml:space="preserve"> bring </w:t>
      </w:r>
      <w:r w:rsidR="00C67738">
        <w:rPr>
          <w:rFonts w:cs="Arial"/>
        </w:rPr>
        <w:lastRenderedPageBreak/>
        <w:t xml:space="preserve">biblical truth to bear upon every area of human culture. </w:t>
      </w:r>
      <w:r w:rsidR="002E605D">
        <w:rPr>
          <w:rFonts w:cs="Arial"/>
        </w:rPr>
        <w:t xml:space="preserve">The concept is derived from Gen 1:28 where God tells Adam and Eve to </w:t>
      </w:r>
      <w:r w:rsidR="00C67738">
        <w:rPr>
          <w:rFonts w:cs="Arial"/>
        </w:rPr>
        <w:t>fill the earth and subdue it and have dominion</w:t>
      </w:r>
      <w:r w:rsidR="002E605D">
        <w:rPr>
          <w:rFonts w:cs="Arial"/>
        </w:rPr>
        <w:t>.</w:t>
      </w:r>
    </w:p>
    <w:p w:rsidR="009F4E9A" w:rsidRDefault="009F4E9A" w:rsidP="009F4E9A">
      <w:pPr>
        <w:pStyle w:val="ListParagraph"/>
        <w:numPr>
          <w:ilvl w:val="0"/>
          <w:numId w:val="2"/>
        </w:numPr>
        <w:spacing w:line="480" w:lineRule="auto"/>
        <w:ind w:left="360"/>
        <w:rPr>
          <w:rFonts w:cs="Arial"/>
          <w:i/>
        </w:rPr>
      </w:pPr>
      <w:r>
        <w:rPr>
          <w:rFonts w:cs="Arial"/>
          <w:i/>
        </w:rPr>
        <w:t>Postmillennialism</w:t>
      </w:r>
      <w:r w:rsidR="00751FA2">
        <w:rPr>
          <w:rFonts w:cs="Arial"/>
          <w:i/>
        </w:rPr>
        <w:t xml:space="preserve"> – Kingdom Inauguration/Progression/Consummation</w:t>
      </w:r>
    </w:p>
    <w:p w:rsidR="00927149" w:rsidRPr="00927149" w:rsidRDefault="00927149" w:rsidP="00927149">
      <w:pPr>
        <w:spacing w:line="480" w:lineRule="auto"/>
        <w:ind w:firstLine="432"/>
        <w:rPr>
          <w:rFonts w:cs="Arial"/>
        </w:rPr>
      </w:pPr>
      <w:r>
        <w:rPr>
          <w:rFonts w:cs="Arial"/>
        </w:rPr>
        <w:t xml:space="preserve">Postmillennialism </w:t>
      </w:r>
      <w:r w:rsidR="00CE14F8">
        <w:rPr>
          <w:rFonts w:cs="Arial"/>
        </w:rPr>
        <w:t>assert</w:t>
      </w:r>
      <w:r>
        <w:rPr>
          <w:rFonts w:cs="Arial"/>
        </w:rPr>
        <w:t xml:space="preserve">s that the kingdom will </w:t>
      </w:r>
      <w:r w:rsidR="008B4E00">
        <w:rPr>
          <w:rFonts w:cs="Arial"/>
        </w:rPr>
        <w:t>be established</w:t>
      </w:r>
      <w:r>
        <w:rPr>
          <w:rFonts w:cs="Arial"/>
        </w:rPr>
        <w:t xml:space="preserve"> through the church in this age</w:t>
      </w:r>
      <w:r w:rsidR="008B4E00">
        <w:rPr>
          <w:rFonts w:cs="Arial"/>
        </w:rPr>
        <w:t xml:space="preserve"> and then Christ will return</w:t>
      </w:r>
      <w:r>
        <w:rPr>
          <w:rFonts w:cs="Arial"/>
        </w:rPr>
        <w:t>.</w:t>
      </w:r>
      <w:r>
        <w:rPr>
          <w:rStyle w:val="FootnoteReference"/>
          <w:rFonts w:cs="Arial"/>
        </w:rPr>
        <w:footnoteReference w:id="12"/>
      </w:r>
      <w:r w:rsidR="008B4E00">
        <w:rPr>
          <w:rFonts w:cs="Arial"/>
        </w:rPr>
        <w:t xml:space="preserve">  The kingdom was inaugurated at the first coming of Christ, progresses throughout history, and will be consummated by the Second Coming of Christ</w:t>
      </w:r>
      <w:r w:rsidR="00EE3891">
        <w:rPr>
          <w:rFonts w:cs="Arial"/>
        </w:rPr>
        <w:t xml:space="preserve"> who will bring in the eternal order</w:t>
      </w:r>
      <w:r w:rsidR="008B4E00">
        <w:rPr>
          <w:rFonts w:cs="Arial"/>
        </w:rPr>
        <w:t xml:space="preserve">.  There are </w:t>
      </w:r>
      <w:r w:rsidR="00B40EA3">
        <w:rPr>
          <w:rFonts w:cs="Arial"/>
        </w:rPr>
        <w:t xml:space="preserve">presently </w:t>
      </w:r>
      <w:r w:rsidR="008B4E00">
        <w:rPr>
          <w:rFonts w:cs="Arial"/>
        </w:rPr>
        <w:t>several versions of postmillennialism</w:t>
      </w:r>
      <w:r w:rsidR="00694B2A">
        <w:rPr>
          <w:rFonts w:cs="Arial"/>
        </w:rPr>
        <w:t xml:space="preserve"> which can be classified as </w:t>
      </w:r>
      <w:r w:rsidR="00CE14F8">
        <w:rPr>
          <w:rFonts w:cs="Arial"/>
        </w:rPr>
        <w:t xml:space="preserve">revivalist (classic – old and new), </w:t>
      </w:r>
      <w:proofErr w:type="spellStart"/>
      <w:proofErr w:type="gramStart"/>
      <w:r w:rsidR="00CE14F8">
        <w:rPr>
          <w:rFonts w:cs="Arial"/>
        </w:rPr>
        <w:t>reconstructionist</w:t>
      </w:r>
      <w:proofErr w:type="spellEnd"/>
      <w:proofErr w:type="gramEnd"/>
      <w:r w:rsidR="00CE14F8">
        <w:rPr>
          <w:rFonts w:cs="Arial"/>
        </w:rPr>
        <w:t xml:space="preserve">, </w:t>
      </w:r>
      <w:r w:rsidR="009373ED">
        <w:rPr>
          <w:rFonts w:cs="Arial"/>
        </w:rPr>
        <w:t xml:space="preserve">and </w:t>
      </w:r>
      <w:proofErr w:type="spellStart"/>
      <w:r w:rsidR="00CE14F8">
        <w:rPr>
          <w:rFonts w:cs="Arial"/>
        </w:rPr>
        <w:t>restorationist</w:t>
      </w:r>
      <w:proofErr w:type="spellEnd"/>
      <w:r w:rsidR="00CE14F8">
        <w:rPr>
          <w:rFonts w:cs="Arial"/>
        </w:rPr>
        <w:t>.</w:t>
      </w:r>
    </w:p>
    <w:p w:rsidR="009F4E9A" w:rsidRDefault="009F4E9A" w:rsidP="009F4E9A">
      <w:pPr>
        <w:pStyle w:val="ListParagraph"/>
        <w:numPr>
          <w:ilvl w:val="0"/>
          <w:numId w:val="3"/>
        </w:numPr>
        <w:spacing w:line="480" w:lineRule="auto"/>
        <w:rPr>
          <w:rFonts w:cs="Arial"/>
          <w:i/>
        </w:rPr>
      </w:pPr>
      <w:r>
        <w:rPr>
          <w:rFonts w:cs="Arial"/>
          <w:i/>
        </w:rPr>
        <w:t>Revivalist –</w:t>
      </w:r>
      <w:r w:rsidR="00751FA2">
        <w:rPr>
          <w:rFonts w:cs="Arial"/>
          <w:i/>
        </w:rPr>
        <w:t xml:space="preserve"> Old</w:t>
      </w:r>
      <w:r>
        <w:rPr>
          <w:rFonts w:cs="Arial"/>
          <w:i/>
        </w:rPr>
        <w:t xml:space="preserve"> and New</w:t>
      </w:r>
    </w:p>
    <w:p w:rsidR="00DB051D" w:rsidRDefault="00DB051D" w:rsidP="00DB051D">
      <w:pPr>
        <w:spacing w:line="480" w:lineRule="auto"/>
        <w:ind w:firstLine="432"/>
        <w:rPr>
          <w:rFonts w:cs="Arial"/>
        </w:rPr>
      </w:pPr>
      <w:r>
        <w:rPr>
          <w:rFonts w:cs="Arial"/>
        </w:rPr>
        <w:t xml:space="preserve">Keith A. </w:t>
      </w:r>
      <w:proofErr w:type="spellStart"/>
      <w:r>
        <w:rPr>
          <w:rFonts w:cs="Arial"/>
        </w:rPr>
        <w:t>Mathison</w:t>
      </w:r>
      <w:proofErr w:type="spellEnd"/>
      <w:r>
        <w:rPr>
          <w:rFonts w:cs="Arial"/>
        </w:rPr>
        <w:t xml:space="preserve"> summariz</w:t>
      </w:r>
      <w:r w:rsidR="00694B2A">
        <w:rPr>
          <w:rFonts w:cs="Arial"/>
        </w:rPr>
        <w:t xml:space="preserve">es the classic postmillennial </w:t>
      </w:r>
      <w:r>
        <w:rPr>
          <w:rFonts w:cs="Arial"/>
        </w:rPr>
        <w:t>view:</w:t>
      </w:r>
    </w:p>
    <w:p w:rsidR="00DB051D" w:rsidRDefault="00DB051D" w:rsidP="00DB051D">
      <w:pPr>
        <w:ind w:left="720"/>
        <w:rPr>
          <w:rFonts w:cs="Arial"/>
          <w:sz w:val="20"/>
          <w:szCs w:val="20"/>
        </w:rPr>
      </w:pPr>
      <w:r>
        <w:rPr>
          <w:rFonts w:cs="Arial"/>
          <w:sz w:val="20"/>
          <w:szCs w:val="20"/>
        </w:rPr>
        <w:t xml:space="preserve">Like </w:t>
      </w:r>
      <w:proofErr w:type="spellStart"/>
      <w:r>
        <w:rPr>
          <w:rFonts w:cs="Arial"/>
          <w:sz w:val="20"/>
          <w:szCs w:val="20"/>
        </w:rPr>
        <w:t>amillennialism</w:t>
      </w:r>
      <w:proofErr w:type="spellEnd"/>
      <w:r>
        <w:rPr>
          <w:rFonts w:cs="Arial"/>
          <w:sz w:val="20"/>
          <w:szCs w:val="20"/>
        </w:rPr>
        <w:t>, postmillennialism teaches that the “thousand years” of Revelation 20 occurs prior to the Second Coming.  Some postmillennialists teach that the millennial age is the entire period of time between Christ’s first and second advents, while others teach that it is the last one thousand years of the present age.  According to postmillennialism, in the present age the Holy Spirit will draw unprecedented multitudes to Christ through the faithful preaching of the gospel.  Among the multitudes who will be converted are the ethnic Israelites who have thus far rejected the Messiah.  At the end of the present age, Christ will return, there will be a general resurrection of the just and the unjust, and the final judgment will take place.</w:t>
      </w:r>
      <w:r>
        <w:rPr>
          <w:rStyle w:val="FootnoteReference"/>
          <w:rFonts w:cs="Arial"/>
          <w:sz w:val="20"/>
          <w:szCs w:val="20"/>
        </w:rPr>
        <w:footnoteReference w:id="13"/>
      </w:r>
    </w:p>
    <w:p w:rsidR="00DB051D" w:rsidRDefault="00DB051D" w:rsidP="00DB051D">
      <w:pPr>
        <w:ind w:left="720"/>
        <w:rPr>
          <w:rFonts w:cs="Arial"/>
          <w:sz w:val="20"/>
          <w:szCs w:val="20"/>
        </w:rPr>
      </w:pPr>
    </w:p>
    <w:p w:rsidR="00085B57" w:rsidRPr="00FA2813" w:rsidRDefault="00B40EA3" w:rsidP="00FA2813">
      <w:pPr>
        <w:spacing w:line="480" w:lineRule="auto"/>
        <w:ind w:firstLine="432"/>
        <w:rPr>
          <w:rFonts w:cs="Arial"/>
        </w:rPr>
      </w:pPr>
      <w:r>
        <w:rPr>
          <w:rFonts w:cs="Arial"/>
        </w:rPr>
        <w:t xml:space="preserve">The main difference between </w:t>
      </w:r>
      <w:r w:rsidR="00A85CEB">
        <w:rPr>
          <w:rFonts w:cs="Arial"/>
        </w:rPr>
        <w:t xml:space="preserve">postmillennialism </w:t>
      </w:r>
      <w:r>
        <w:rPr>
          <w:rFonts w:cs="Arial"/>
        </w:rPr>
        <w:t xml:space="preserve">and </w:t>
      </w:r>
      <w:proofErr w:type="spellStart"/>
      <w:r>
        <w:rPr>
          <w:rFonts w:cs="Arial"/>
        </w:rPr>
        <w:t>amillennialism</w:t>
      </w:r>
      <w:proofErr w:type="spellEnd"/>
      <w:r>
        <w:rPr>
          <w:rFonts w:cs="Arial"/>
        </w:rPr>
        <w:t xml:space="preserve"> is its optimism.</w:t>
      </w:r>
      <w:r w:rsidR="00A85CEB">
        <w:rPr>
          <w:rStyle w:val="FootnoteReference"/>
          <w:rFonts w:cs="Arial"/>
        </w:rPr>
        <w:footnoteReference w:id="14"/>
      </w:r>
      <w:r w:rsidR="00A85CEB">
        <w:rPr>
          <w:rFonts w:cs="Arial"/>
        </w:rPr>
        <w:t xml:space="preserve">  The two systems are in general agreement regarding the time of the kingdom.  The </w:t>
      </w:r>
      <w:r w:rsidR="008D236D">
        <w:rPr>
          <w:rFonts w:cs="Arial"/>
        </w:rPr>
        <w:t xml:space="preserve">primary </w:t>
      </w:r>
      <w:r w:rsidR="00A85CEB">
        <w:rPr>
          <w:rFonts w:cs="Arial"/>
        </w:rPr>
        <w:t>disagreement</w:t>
      </w:r>
      <w:r w:rsidR="008D236D">
        <w:rPr>
          <w:rFonts w:cs="Arial"/>
        </w:rPr>
        <w:t xml:space="preserve"> concerns </w:t>
      </w:r>
      <w:r w:rsidR="00A85CEB">
        <w:rPr>
          <w:rFonts w:cs="Arial"/>
        </w:rPr>
        <w:t xml:space="preserve">the nature of this period of time.  </w:t>
      </w:r>
      <w:proofErr w:type="spellStart"/>
      <w:r w:rsidR="008D236D">
        <w:rPr>
          <w:rFonts w:cs="Arial"/>
        </w:rPr>
        <w:t>Amillennialist</w:t>
      </w:r>
      <w:r w:rsidR="0081691B">
        <w:rPr>
          <w:rFonts w:cs="Arial"/>
        </w:rPr>
        <w:t>s</w:t>
      </w:r>
      <w:proofErr w:type="spellEnd"/>
      <w:r w:rsidR="008D236D">
        <w:rPr>
          <w:rFonts w:cs="Arial"/>
        </w:rPr>
        <w:t xml:space="preserve"> see a decline in righteousness </w:t>
      </w:r>
      <w:r w:rsidR="00085B57">
        <w:rPr>
          <w:rFonts w:cs="Arial"/>
        </w:rPr>
        <w:t xml:space="preserve">and suffering for the church </w:t>
      </w:r>
      <w:r w:rsidR="008D236D">
        <w:rPr>
          <w:rFonts w:cs="Arial"/>
        </w:rPr>
        <w:t xml:space="preserve">before the Second Coming while postmillennialists see the </w:t>
      </w:r>
      <w:r w:rsidR="00414E5A">
        <w:rPr>
          <w:rFonts w:cs="Arial"/>
        </w:rPr>
        <w:t>progressive</w:t>
      </w:r>
      <w:r w:rsidR="008D236D">
        <w:rPr>
          <w:rFonts w:cs="Arial"/>
        </w:rPr>
        <w:t xml:space="preserve"> growth of the messianic kingdom and the decline of all other kingdoms.</w:t>
      </w:r>
      <w:r w:rsidR="007F5A14">
        <w:rPr>
          <w:rStyle w:val="FootnoteReference"/>
          <w:rFonts w:cs="Arial"/>
        </w:rPr>
        <w:footnoteReference w:id="15"/>
      </w:r>
      <w:r w:rsidR="00085B57">
        <w:rPr>
          <w:rFonts w:cs="Arial"/>
        </w:rPr>
        <w:t xml:space="preserve"> </w:t>
      </w:r>
      <w:r w:rsidR="003952FD">
        <w:t xml:space="preserve">David J. </w:t>
      </w:r>
      <w:proofErr w:type="spellStart"/>
      <w:r w:rsidR="003952FD">
        <w:t>Engelsma</w:t>
      </w:r>
      <w:proofErr w:type="spellEnd"/>
      <w:r w:rsidR="003952FD">
        <w:t xml:space="preserve"> observes that reformed </w:t>
      </w:r>
      <w:proofErr w:type="spellStart"/>
      <w:r w:rsidR="003952FD">
        <w:t>amillennialism</w:t>
      </w:r>
      <w:proofErr w:type="spellEnd"/>
      <w:r w:rsidR="003952FD">
        <w:t xml:space="preserve"> teaches the church to expect great tribulation before the return of Christ and postmillennialism teaches the saints to expect an </w:t>
      </w:r>
      <w:r w:rsidR="003952FD">
        <w:lastRenderedPageBreak/>
        <w:t>earthly victory in the future before the coming of  Christ.</w:t>
      </w:r>
      <w:r w:rsidR="003952FD">
        <w:rPr>
          <w:rStyle w:val="FootnoteReference"/>
        </w:rPr>
        <w:footnoteReference w:id="16"/>
      </w:r>
      <w:r w:rsidR="003952FD">
        <w:t xml:space="preserve">  </w:t>
      </w:r>
      <w:r w:rsidR="00085B57">
        <w:rPr>
          <w:rFonts w:cs="Arial"/>
        </w:rPr>
        <w:t>Oswald Allis comments</w:t>
      </w:r>
      <w:r w:rsidR="003952FD">
        <w:rPr>
          <w:rFonts w:cs="Arial"/>
        </w:rPr>
        <w:t xml:space="preserve"> from the perspective of a postmillennialist</w:t>
      </w:r>
      <w:r w:rsidR="00085B57">
        <w:rPr>
          <w:rFonts w:cs="Arial"/>
        </w:rPr>
        <w:t xml:space="preserve">: </w:t>
      </w:r>
      <w:r w:rsidR="003952FD">
        <w:rPr>
          <w:rFonts w:cs="Arial"/>
        </w:rPr>
        <w:t>“</w:t>
      </w:r>
      <w:r w:rsidR="00085B57" w:rsidRPr="003952FD">
        <w:rPr>
          <w:rFonts w:cs="Arial"/>
        </w:rPr>
        <w:t>The most seriou</w:t>
      </w:r>
      <w:r w:rsidR="00694B2A">
        <w:rPr>
          <w:rFonts w:cs="Arial"/>
        </w:rPr>
        <w:t>s error in much of the current ‘prophetic’</w:t>
      </w:r>
      <w:r w:rsidR="00085B57" w:rsidRPr="003952FD">
        <w:rPr>
          <w:rFonts w:cs="Arial"/>
        </w:rPr>
        <w:t xml:space="preserve"> teaching of today is the claim that the future of Christendom is to be read not in terms of Revival and Victory, but of growing impotence and apostasy.</w:t>
      </w:r>
      <w:r w:rsidR="003952FD">
        <w:rPr>
          <w:rFonts w:cs="Arial"/>
        </w:rPr>
        <w:t>”</w:t>
      </w:r>
      <w:r w:rsidR="00085B57" w:rsidRPr="003952FD">
        <w:rPr>
          <w:rStyle w:val="FootnoteReference"/>
          <w:rFonts w:cs="Arial"/>
        </w:rPr>
        <w:footnoteReference w:id="17"/>
      </w:r>
    </w:p>
    <w:p w:rsidR="00DB051D" w:rsidRDefault="001E37A1" w:rsidP="001E37A1">
      <w:pPr>
        <w:spacing w:line="480" w:lineRule="auto"/>
        <w:ind w:firstLine="432"/>
        <w:rPr>
          <w:rFonts w:cs="Arial"/>
        </w:rPr>
      </w:pPr>
      <w:r>
        <w:rPr>
          <w:rFonts w:cs="Arial"/>
        </w:rPr>
        <w:t xml:space="preserve">The following chart exhibits some of the elements </w:t>
      </w:r>
      <w:r w:rsidR="00DB051D">
        <w:rPr>
          <w:rFonts w:cs="Arial"/>
        </w:rPr>
        <w:t xml:space="preserve">of classic </w:t>
      </w:r>
      <w:r w:rsidR="0077359F">
        <w:rPr>
          <w:rFonts w:cs="Arial"/>
        </w:rPr>
        <w:t xml:space="preserve">or revivalist </w:t>
      </w:r>
      <w:r w:rsidR="00DB051D">
        <w:rPr>
          <w:rFonts w:cs="Arial"/>
        </w:rPr>
        <w:t>pos</w:t>
      </w:r>
      <w:r w:rsidR="00B40EA3">
        <w:rPr>
          <w:rFonts w:cs="Arial"/>
        </w:rPr>
        <w:t>t</w:t>
      </w:r>
      <w:r w:rsidR="00DB051D">
        <w:rPr>
          <w:rFonts w:cs="Arial"/>
        </w:rPr>
        <w:t>millennialism:</w:t>
      </w:r>
      <w:r w:rsidR="00B40EA3">
        <w:rPr>
          <w:rStyle w:val="FootnoteReference"/>
          <w:rFonts w:cs="Arial"/>
        </w:rPr>
        <w:footnoteReference w:id="18"/>
      </w:r>
    </w:p>
    <w:p w:rsidR="00DB051D" w:rsidRDefault="00DB051D" w:rsidP="00DB051D">
      <w:pPr>
        <w:ind w:firstLine="432"/>
        <w:rPr>
          <w:rFonts w:cs="Arial"/>
        </w:rPr>
      </w:pPr>
    </w:p>
    <w:p w:rsidR="00DB051D" w:rsidRPr="00DB051D" w:rsidRDefault="00DB051D" w:rsidP="00630543">
      <w:pPr>
        <w:rPr>
          <w:rFonts w:cs="Arial"/>
        </w:rPr>
      </w:pPr>
      <w:r w:rsidRPr="00DB051D">
        <w:rPr>
          <w:rFonts w:cs="Arial"/>
          <w:noProof/>
        </w:rPr>
        <w:drawing>
          <wp:inline distT="0" distB="0" distL="0" distR="0">
            <wp:extent cx="5943600" cy="2719070"/>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9" cstate="print"/>
                    <a:srcRect/>
                    <a:stretch>
                      <a:fillRect/>
                    </a:stretch>
                  </pic:blipFill>
                  <pic:spPr bwMode="auto">
                    <a:xfrm>
                      <a:off x="0" y="0"/>
                      <a:ext cx="5943600" cy="2719070"/>
                    </a:xfrm>
                    <a:prstGeom prst="rect">
                      <a:avLst/>
                    </a:prstGeom>
                    <a:noFill/>
                    <a:ln w="9525">
                      <a:noFill/>
                      <a:miter lim="800000"/>
                      <a:headEnd/>
                      <a:tailEnd/>
                    </a:ln>
                  </pic:spPr>
                </pic:pic>
              </a:graphicData>
            </a:graphic>
          </wp:inline>
        </w:drawing>
      </w:r>
    </w:p>
    <w:p w:rsidR="00DB051D" w:rsidRDefault="00DB051D" w:rsidP="00DB051D">
      <w:pPr>
        <w:ind w:left="720"/>
        <w:rPr>
          <w:rFonts w:cs="Arial"/>
          <w:sz w:val="20"/>
          <w:szCs w:val="20"/>
        </w:rPr>
      </w:pPr>
    </w:p>
    <w:p w:rsidR="002E0DEF" w:rsidRDefault="00414E5A" w:rsidP="00414E5A">
      <w:pPr>
        <w:spacing w:line="480" w:lineRule="auto"/>
        <w:ind w:firstLine="432"/>
        <w:rPr>
          <w:rFonts w:cs="Arial"/>
        </w:rPr>
      </w:pPr>
      <w:r>
        <w:rPr>
          <w:rFonts w:cs="Arial"/>
        </w:rPr>
        <w:t xml:space="preserve">Like </w:t>
      </w:r>
      <w:proofErr w:type="spellStart"/>
      <w:r>
        <w:rPr>
          <w:rFonts w:cs="Arial"/>
        </w:rPr>
        <w:t>amillennialists</w:t>
      </w:r>
      <w:proofErr w:type="spellEnd"/>
      <w:r>
        <w:rPr>
          <w:rFonts w:cs="Arial"/>
        </w:rPr>
        <w:t>, postmillennialists regard the church as the new Israel.  The church replaces national Israel.</w:t>
      </w:r>
      <w:r w:rsidR="007F5A14">
        <w:rPr>
          <w:rFonts w:cs="Arial"/>
        </w:rPr>
        <w:t xml:space="preserve"> </w:t>
      </w:r>
    </w:p>
    <w:p w:rsidR="00EE3891" w:rsidRPr="00414E5A" w:rsidRDefault="002E0DEF" w:rsidP="00414E5A">
      <w:pPr>
        <w:spacing w:line="480" w:lineRule="auto"/>
        <w:ind w:firstLine="432"/>
        <w:rPr>
          <w:rFonts w:cs="Arial"/>
        </w:rPr>
      </w:pPr>
      <w:r>
        <w:rPr>
          <w:rFonts w:cs="Arial"/>
        </w:rPr>
        <w:t>Some p</w:t>
      </w:r>
      <w:r w:rsidR="00414E5A">
        <w:rPr>
          <w:rFonts w:cs="Arial"/>
        </w:rPr>
        <w:t>ostmillennialist</w:t>
      </w:r>
      <w:r w:rsidR="007F5A14">
        <w:rPr>
          <w:rFonts w:cs="Arial"/>
        </w:rPr>
        <w:t>s</w:t>
      </w:r>
      <w:r>
        <w:rPr>
          <w:rFonts w:cs="Arial"/>
        </w:rPr>
        <w:t xml:space="preserve"> </w:t>
      </w:r>
      <w:r w:rsidR="00414E5A">
        <w:rPr>
          <w:rFonts w:cs="Arial"/>
        </w:rPr>
        <w:t>intensify the cultural mandate to a dominion mandate.</w:t>
      </w:r>
      <w:r>
        <w:rPr>
          <w:rFonts w:cs="Arial"/>
        </w:rPr>
        <w:t xml:space="preserve">  </w:t>
      </w:r>
      <w:r w:rsidR="00FA2813">
        <w:rPr>
          <w:rFonts w:cs="Arial"/>
        </w:rPr>
        <w:t>Christians</w:t>
      </w:r>
      <w:r w:rsidR="005856F0">
        <w:rPr>
          <w:rFonts w:cs="Arial"/>
        </w:rPr>
        <w:t xml:space="preserve"> are to influence</w:t>
      </w:r>
      <w:r>
        <w:rPr>
          <w:rFonts w:cs="Arial"/>
        </w:rPr>
        <w:t xml:space="preserve"> institutions and power structures so that </w:t>
      </w:r>
      <w:r w:rsidR="00C67738">
        <w:rPr>
          <w:rFonts w:cs="Arial"/>
        </w:rPr>
        <w:t>biblical</w:t>
      </w:r>
      <w:r>
        <w:rPr>
          <w:rFonts w:cs="Arial"/>
        </w:rPr>
        <w:t xml:space="preserve"> principles prevail.  Two main forms of this can be seen in Reformed </w:t>
      </w:r>
      <w:proofErr w:type="spellStart"/>
      <w:proofErr w:type="gramStart"/>
      <w:r>
        <w:rPr>
          <w:rFonts w:cs="Arial"/>
        </w:rPr>
        <w:t>reconstructionism</w:t>
      </w:r>
      <w:proofErr w:type="spellEnd"/>
      <w:proofErr w:type="gramEnd"/>
      <w:r>
        <w:rPr>
          <w:rFonts w:cs="Arial"/>
        </w:rPr>
        <w:t xml:space="preserve"> and Pentecostal/Charismatic </w:t>
      </w:r>
      <w:proofErr w:type="spellStart"/>
      <w:r>
        <w:rPr>
          <w:rFonts w:cs="Arial"/>
        </w:rPr>
        <w:t>restorationism</w:t>
      </w:r>
      <w:proofErr w:type="spellEnd"/>
      <w:r>
        <w:rPr>
          <w:rFonts w:cs="Arial"/>
        </w:rPr>
        <w:t>.</w:t>
      </w:r>
    </w:p>
    <w:p w:rsidR="009F4E9A" w:rsidRDefault="009F4E9A" w:rsidP="009F4E9A">
      <w:pPr>
        <w:pStyle w:val="ListParagraph"/>
        <w:numPr>
          <w:ilvl w:val="0"/>
          <w:numId w:val="3"/>
        </w:numPr>
        <w:spacing w:line="480" w:lineRule="auto"/>
        <w:rPr>
          <w:rFonts w:cs="Arial"/>
          <w:i/>
        </w:rPr>
      </w:pPr>
      <w:proofErr w:type="spellStart"/>
      <w:r>
        <w:rPr>
          <w:rFonts w:cs="Arial"/>
          <w:i/>
        </w:rPr>
        <w:lastRenderedPageBreak/>
        <w:t>Reconstructionist</w:t>
      </w:r>
      <w:proofErr w:type="spellEnd"/>
      <w:r>
        <w:rPr>
          <w:rFonts w:cs="Arial"/>
          <w:i/>
        </w:rPr>
        <w:t xml:space="preserve"> – </w:t>
      </w:r>
      <w:proofErr w:type="spellStart"/>
      <w:r>
        <w:rPr>
          <w:rFonts w:cs="Arial"/>
          <w:i/>
        </w:rPr>
        <w:t>Theonomy</w:t>
      </w:r>
      <w:proofErr w:type="spellEnd"/>
    </w:p>
    <w:p w:rsidR="00630543" w:rsidRDefault="00246EB5" w:rsidP="00630543">
      <w:pPr>
        <w:spacing w:line="480" w:lineRule="auto"/>
        <w:ind w:firstLine="432"/>
        <w:rPr>
          <w:rFonts w:cs="Arial"/>
        </w:rPr>
      </w:pPr>
      <w:r>
        <w:rPr>
          <w:rFonts w:cs="Arial"/>
        </w:rPr>
        <w:t xml:space="preserve">A </w:t>
      </w:r>
      <w:r w:rsidR="00B14462">
        <w:rPr>
          <w:rFonts w:cs="Arial"/>
        </w:rPr>
        <w:t>new</w:t>
      </w:r>
      <w:r w:rsidR="00B333C5">
        <w:rPr>
          <w:rFonts w:cs="Arial"/>
        </w:rPr>
        <w:t xml:space="preserve"> form of </w:t>
      </w:r>
      <w:r>
        <w:rPr>
          <w:rFonts w:cs="Arial"/>
        </w:rPr>
        <w:t xml:space="preserve">postmillennialism is Christian </w:t>
      </w:r>
      <w:proofErr w:type="spellStart"/>
      <w:proofErr w:type="gramStart"/>
      <w:r>
        <w:rPr>
          <w:rFonts w:cs="Arial"/>
        </w:rPr>
        <w:t>r</w:t>
      </w:r>
      <w:r w:rsidR="00B333C5">
        <w:rPr>
          <w:rFonts w:cs="Arial"/>
        </w:rPr>
        <w:t>econstructionism</w:t>
      </w:r>
      <w:proofErr w:type="spellEnd"/>
      <w:proofErr w:type="gramEnd"/>
      <w:r>
        <w:rPr>
          <w:rFonts w:cs="Arial"/>
        </w:rPr>
        <w:t xml:space="preserve"> and </w:t>
      </w:r>
      <w:proofErr w:type="spellStart"/>
      <w:r>
        <w:rPr>
          <w:rFonts w:cs="Arial"/>
        </w:rPr>
        <w:t>theonomy</w:t>
      </w:r>
      <w:proofErr w:type="spellEnd"/>
      <w:r w:rsidR="00E82797">
        <w:rPr>
          <w:rFonts w:cs="Arial"/>
        </w:rPr>
        <w:t xml:space="preserve"> (the rule of the Law of God)</w:t>
      </w:r>
      <w:r w:rsidR="004C779A">
        <w:rPr>
          <w:rFonts w:cs="Arial"/>
        </w:rPr>
        <w:t>.</w:t>
      </w:r>
      <w:r w:rsidR="004C779A">
        <w:rPr>
          <w:rStyle w:val="FootnoteReference"/>
          <w:rFonts w:cs="Arial"/>
        </w:rPr>
        <w:footnoteReference w:id="19"/>
      </w:r>
      <w:r w:rsidR="003952FD">
        <w:rPr>
          <w:rFonts w:cs="Arial"/>
        </w:rPr>
        <w:t xml:space="preserve">  </w:t>
      </w:r>
      <w:r w:rsidR="00E82797">
        <w:rPr>
          <w:rFonts w:cs="Arial"/>
        </w:rPr>
        <w:t>The primary goal</w:t>
      </w:r>
      <w:r>
        <w:rPr>
          <w:rFonts w:cs="Arial"/>
        </w:rPr>
        <w:t xml:space="preserve"> is to </w:t>
      </w:r>
      <w:r w:rsidR="009A7B6E">
        <w:rPr>
          <w:rFonts w:cs="Arial"/>
        </w:rPr>
        <w:t>apply</w:t>
      </w:r>
      <w:r>
        <w:rPr>
          <w:rFonts w:cs="Arial"/>
        </w:rPr>
        <w:t xml:space="preserve"> the moral and civil aspects </w:t>
      </w:r>
      <w:r w:rsidR="009A7B6E">
        <w:rPr>
          <w:rFonts w:cs="Arial"/>
        </w:rPr>
        <w:t>of Old Testament L</w:t>
      </w:r>
      <w:r>
        <w:rPr>
          <w:rFonts w:cs="Arial"/>
        </w:rPr>
        <w:t xml:space="preserve">aw </w:t>
      </w:r>
      <w:r w:rsidR="009A7B6E">
        <w:rPr>
          <w:rFonts w:cs="Arial"/>
        </w:rPr>
        <w:t>to</w:t>
      </w:r>
      <w:r>
        <w:rPr>
          <w:rFonts w:cs="Arial"/>
        </w:rPr>
        <w:t xml:space="preserve"> society.</w:t>
      </w:r>
      <w:r w:rsidR="00E82797">
        <w:rPr>
          <w:rFonts w:cs="Arial"/>
        </w:rPr>
        <w:t xml:space="preserve">  The mission of the church goes beyond the spiritual transformation of people to </w:t>
      </w:r>
      <w:r w:rsidR="009A7B6E">
        <w:rPr>
          <w:rFonts w:cs="Arial"/>
        </w:rPr>
        <w:t xml:space="preserve">one of </w:t>
      </w:r>
      <w:r w:rsidR="00780AA1">
        <w:rPr>
          <w:rFonts w:cs="Arial"/>
        </w:rPr>
        <w:t>reconstructing society</w:t>
      </w:r>
      <w:r w:rsidR="00E82797">
        <w:rPr>
          <w:rFonts w:cs="Arial"/>
        </w:rPr>
        <w:t xml:space="preserve"> </w:t>
      </w:r>
      <w:r w:rsidR="009A7B6E">
        <w:rPr>
          <w:rFonts w:cs="Arial"/>
        </w:rPr>
        <w:t>and bringing it under the L</w:t>
      </w:r>
      <w:r w:rsidR="00E82797">
        <w:rPr>
          <w:rFonts w:cs="Arial"/>
        </w:rPr>
        <w:t>aw of God.</w:t>
      </w:r>
      <w:r w:rsidR="009A7B6E">
        <w:rPr>
          <w:rFonts w:cs="Arial"/>
        </w:rPr>
        <w:t xml:space="preserve">  This can involve a gradual process of electing Christians to office and changing the laws of the land.</w:t>
      </w:r>
    </w:p>
    <w:p w:rsidR="00744C57" w:rsidRDefault="00744C57" w:rsidP="00630543">
      <w:pPr>
        <w:spacing w:line="480" w:lineRule="auto"/>
        <w:ind w:firstLine="432"/>
        <w:rPr>
          <w:rFonts w:cs="Arial"/>
        </w:rPr>
      </w:pPr>
      <w:r>
        <w:rPr>
          <w:rFonts w:cs="Arial"/>
        </w:rPr>
        <w:t xml:space="preserve">The Coalition on Revival document “The 25 Articles on the Kingdom of God” with the commentary by Jay </w:t>
      </w:r>
      <w:proofErr w:type="spellStart"/>
      <w:r>
        <w:rPr>
          <w:rFonts w:cs="Arial"/>
        </w:rPr>
        <w:t>Grimstead</w:t>
      </w:r>
      <w:proofErr w:type="spellEnd"/>
      <w:r>
        <w:rPr>
          <w:rFonts w:cs="Arial"/>
        </w:rPr>
        <w:t xml:space="preserve"> reflects </w:t>
      </w:r>
      <w:r w:rsidR="001D682F">
        <w:rPr>
          <w:rFonts w:cs="Arial"/>
        </w:rPr>
        <w:t>aspects</w:t>
      </w:r>
      <w:r>
        <w:rPr>
          <w:rFonts w:cs="Arial"/>
        </w:rPr>
        <w:t xml:space="preserve"> of this view.</w:t>
      </w:r>
      <w:r>
        <w:rPr>
          <w:rStyle w:val="FootnoteReference"/>
          <w:rFonts w:cs="Arial"/>
        </w:rPr>
        <w:footnoteReference w:id="20"/>
      </w:r>
      <w:r w:rsidR="001D682F">
        <w:rPr>
          <w:rFonts w:cs="Arial"/>
        </w:rPr>
        <w:t xml:space="preserve">  </w:t>
      </w:r>
      <w:proofErr w:type="spellStart"/>
      <w:r w:rsidR="001D682F">
        <w:rPr>
          <w:rFonts w:cs="Arial"/>
        </w:rPr>
        <w:t>Grimstead</w:t>
      </w:r>
      <w:proofErr w:type="spellEnd"/>
      <w:r w:rsidR="001D682F">
        <w:rPr>
          <w:rFonts w:cs="Arial"/>
        </w:rPr>
        <w:t xml:space="preserve"> presents the following chart to illustrate what the Coalition on Revival</w:t>
      </w:r>
      <w:r w:rsidR="00B14462">
        <w:rPr>
          <w:rFonts w:cs="Arial"/>
        </w:rPr>
        <w:t xml:space="preserve"> does not want and what it does want in our current system of government</w:t>
      </w:r>
      <w:r w:rsidR="001D682F">
        <w:rPr>
          <w:rFonts w:cs="Arial"/>
        </w:rPr>
        <w:t>:</w:t>
      </w:r>
    </w:p>
    <w:p w:rsidR="001D682F" w:rsidRPr="00630543" w:rsidRDefault="001D682F" w:rsidP="00630543">
      <w:pPr>
        <w:spacing w:line="480" w:lineRule="auto"/>
        <w:ind w:firstLine="432"/>
        <w:rPr>
          <w:rFonts w:cs="Arial"/>
        </w:rPr>
      </w:pPr>
      <w:r w:rsidRPr="001D682F">
        <w:rPr>
          <w:rFonts w:cs="Arial"/>
          <w:noProof/>
        </w:rPr>
        <w:drawing>
          <wp:inline distT="0" distB="0" distL="0" distR="0">
            <wp:extent cx="4400550" cy="2060257"/>
            <wp:effectExtent l="19050" t="0" r="0" b="0"/>
            <wp:docPr id="5" name="Picture 4" descr="C:\Users\Philippe\Documents\My Received Files\church-n-state.gif"/>
            <wp:cNvGraphicFramePr/>
            <a:graphic xmlns:a="http://schemas.openxmlformats.org/drawingml/2006/main">
              <a:graphicData uri="http://schemas.openxmlformats.org/drawingml/2006/picture">
                <pic:pic xmlns:pic="http://schemas.openxmlformats.org/drawingml/2006/picture">
                  <pic:nvPicPr>
                    <pic:cNvPr id="43013" name="Picture 5" descr="C:\Users\Philippe\Documents\My Received Files\church-n-state.gif"/>
                    <pic:cNvPicPr>
                      <a:picLocks noChangeAspect="1" noChangeArrowheads="1"/>
                    </pic:cNvPicPr>
                  </pic:nvPicPr>
                  <pic:blipFill>
                    <a:blip r:embed="rId10" cstate="print"/>
                    <a:srcRect/>
                    <a:stretch>
                      <a:fillRect/>
                    </a:stretch>
                  </pic:blipFill>
                  <pic:spPr bwMode="auto">
                    <a:xfrm>
                      <a:off x="0" y="0"/>
                      <a:ext cx="4400550" cy="2060257"/>
                    </a:xfrm>
                    <a:prstGeom prst="rect">
                      <a:avLst/>
                    </a:prstGeom>
                    <a:noFill/>
                  </pic:spPr>
                </pic:pic>
              </a:graphicData>
            </a:graphic>
          </wp:inline>
        </w:drawing>
      </w:r>
    </w:p>
    <w:p w:rsidR="009F4E9A" w:rsidRDefault="009F4E9A" w:rsidP="009F4E9A">
      <w:pPr>
        <w:pStyle w:val="ListParagraph"/>
        <w:numPr>
          <w:ilvl w:val="0"/>
          <w:numId w:val="3"/>
        </w:numPr>
        <w:spacing w:line="480" w:lineRule="auto"/>
        <w:rPr>
          <w:rFonts w:cs="Arial"/>
          <w:i/>
        </w:rPr>
      </w:pPr>
      <w:proofErr w:type="spellStart"/>
      <w:r>
        <w:rPr>
          <w:rFonts w:cs="Arial"/>
          <w:i/>
        </w:rPr>
        <w:t>Restorationist</w:t>
      </w:r>
      <w:proofErr w:type="spellEnd"/>
      <w:r>
        <w:rPr>
          <w:rFonts w:cs="Arial"/>
          <w:i/>
        </w:rPr>
        <w:t xml:space="preserve"> – Dominion</w:t>
      </w:r>
      <w:r w:rsidR="00FE11FB">
        <w:rPr>
          <w:rFonts w:cs="Arial"/>
          <w:i/>
        </w:rPr>
        <w:t xml:space="preserve"> or Kingdom Now</w:t>
      </w:r>
    </w:p>
    <w:p w:rsidR="00780AA1" w:rsidRDefault="00FE11FB" w:rsidP="00780AA1">
      <w:pPr>
        <w:spacing w:line="480" w:lineRule="auto"/>
        <w:ind w:firstLine="432"/>
        <w:rPr>
          <w:rFonts w:cs="Arial"/>
        </w:rPr>
      </w:pPr>
      <w:r>
        <w:rPr>
          <w:rFonts w:cs="Arial"/>
        </w:rPr>
        <w:t>Another form of postmillennialism has developed in some Pentecostal and Charismat</w:t>
      </w:r>
      <w:r w:rsidR="00D5413E">
        <w:rPr>
          <w:rFonts w:cs="Arial"/>
        </w:rPr>
        <w:t xml:space="preserve">ic circles.  C. Peter Wagner </w:t>
      </w:r>
      <w:r>
        <w:rPr>
          <w:rFonts w:cs="Arial"/>
        </w:rPr>
        <w:t xml:space="preserve">recently described the movement in </w:t>
      </w:r>
      <w:r w:rsidRPr="00FE11FB">
        <w:rPr>
          <w:rFonts w:cs="Arial"/>
          <w:i/>
        </w:rPr>
        <w:t>Dominion! How Kingdom Action Can Change the World</w:t>
      </w:r>
      <w:r>
        <w:rPr>
          <w:rFonts w:cs="Arial"/>
        </w:rPr>
        <w:t>.  He writes in the introduction:</w:t>
      </w:r>
    </w:p>
    <w:p w:rsidR="00FE11FB" w:rsidRDefault="00FE11FB" w:rsidP="00FE11FB">
      <w:pPr>
        <w:ind w:left="720"/>
        <w:rPr>
          <w:rFonts w:cs="Arial"/>
          <w:sz w:val="20"/>
          <w:szCs w:val="20"/>
        </w:rPr>
      </w:pPr>
      <w:r>
        <w:rPr>
          <w:rFonts w:cs="Arial"/>
          <w:sz w:val="20"/>
          <w:szCs w:val="20"/>
        </w:rPr>
        <w:lastRenderedPageBreak/>
        <w:t xml:space="preserve">I am writing </w:t>
      </w:r>
      <w:r w:rsidRPr="00FE11FB">
        <w:rPr>
          <w:rFonts w:cs="Arial"/>
          <w:i/>
          <w:sz w:val="20"/>
          <w:szCs w:val="20"/>
        </w:rPr>
        <w:t>Dominion!</w:t>
      </w:r>
      <w:r>
        <w:rPr>
          <w:rFonts w:cs="Arial"/>
          <w:sz w:val="20"/>
          <w:szCs w:val="20"/>
        </w:rPr>
        <w:t xml:space="preserve"> </w:t>
      </w:r>
      <w:proofErr w:type="gramStart"/>
      <w:r>
        <w:rPr>
          <w:rFonts w:cs="Arial"/>
          <w:sz w:val="20"/>
          <w:szCs w:val="20"/>
        </w:rPr>
        <w:t xml:space="preserve">To </w:t>
      </w:r>
      <w:r w:rsidR="00CA5A9C">
        <w:rPr>
          <w:rFonts w:cs="Arial"/>
          <w:sz w:val="20"/>
          <w:szCs w:val="20"/>
        </w:rPr>
        <w:t xml:space="preserve">help provide a biblical, </w:t>
      </w:r>
      <w:r>
        <w:rPr>
          <w:rFonts w:cs="Arial"/>
          <w:sz w:val="20"/>
          <w:szCs w:val="20"/>
        </w:rPr>
        <w:t>theological and strategic foundation to undergird the urgent mandate for the Church to actively engage in transforming society.</w:t>
      </w:r>
      <w:proofErr w:type="gramEnd"/>
      <w:r>
        <w:rPr>
          <w:rFonts w:cs="Arial"/>
          <w:sz w:val="20"/>
          <w:szCs w:val="20"/>
        </w:rPr>
        <w:t xml:space="preserve">  This is a relatively</w:t>
      </w:r>
      <w:r w:rsidR="00D5413E">
        <w:rPr>
          <w:rFonts w:cs="Arial"/>
          <w:sz w:val="20"/>
          <w:szCs w:val="20"/>
        </w:rPr>
        <w:t xml:space="preserve"> new paradigm for most of us, both in the nuclear Church and in the extended Church of the workplace, so I will pull together many important threads such as the biblical government of the Church (apostles and prophets), dominion or Kingdom theology, an open view of God, the principles and practices of spiritual warfare, the Church in the workplace, the great transfer of wealth and other themes.  These all point toward the book’s subtitle: “How Kingdom Action Can Change the World.”</w:t>
      </w:r>
      <w:r w:rsidR="00D5413E">
        <w:rPr>
          <w:rStyle w:val="FootnoteReference"/>
          <w:rFonts w:cs="Arial"/>
          <w:sz w:val="20"/>
          <w:szCs w:val="20"/>
        </w:rPr>
        <w:footnoteReference w:id="21"/>
      </w:r>
    </w:p>
    <w:p w:rsidR="00EC1B43" w:rsidRDefault="00EC1B43" w:rsidP="00FE11FB">
      <w:pPr>
        <w:ind w:left="720"/>
        <w:rPr>
          <w:rFonts w:cs="Arial"/>
          <w:sz w:val="20"/>
          <w:szCs w:val="20"/>
        </w:rPr>
      </w:pPr>
    </w:p>
    <w:p w:rsidR="00EC1B43" w:rsidRDefault="00EC1B43" w:rsidP="00EC1B43">
      <w:pPr>
        <w:spacing w:line="480" w:lineRule="auto"/>
        <w:ind w:firstLine="432"/>
        <w:rPr>
          <w:rFonts w:cs="Arial"/>
        </w:rPr>
      </w:pPr>
      <w:r>
        <w:rPr>
          <w:rFonts w:cs="Arial"/>
        </w:rPr>
        <w:t>Wagner uses the term “cultural mandate” several times.  He explains, “By it I mean, simply, that we have an assignment from God to take dominion and transform society.”</w:t>
      </w:r>
      <w:r>
        <w:rPr>
          <w:rStyle w:val="FootnoteReference"/>
          <w:rFonts w:cs="Arial"/>
        </w:rPr>
        <w:footnoteReference w:id="22"/>
      </w:r>
      <w:r>
        <w:rPr>
          <w:rFonts w:cs="Arial"/>
        </w:rPr>
        <w:t xml:space="preserve">  He rejects the “pre-</w:t>
      </w:r>
      <w:proofErr w:type="spellStart"/>
      <w:r>
        <w:rPr>
          <w:rFonts w:cs="Arial"/>
        </w:rPr>
        <w:t>trib</w:t>
      </w:r>
      <w:proofErr w:type="spellEnd"/>
      <w:r>
        <w:rPr>
          <w:rFonts w:cs="Arial"/>
        </w:rPr>
        <w:t xml:space="preserve">, pre-mil” view of the end times for a </w:t>
      </w:r>
      <w:r w:rsidR="00694B2A">
        <w:rPr>
          <w:rFonts w:cs="Arial"/>
        </w:rPr>
        <w:t>“</w:t>
      </w:r>
      <w:r>
        <w:rPr>
          <w:rFonts w:cs="Arial"/>
        </w:rPr>
        <w:t>victorious eschatology</w:t>
      </w:r>
      <w:r w:rsidR="00694B2A">
        <w:rPr>
          <w:rFonts w:cs="Arial"/>
        </w:rPr>
        <w:t>”</w:t>
      </w:r>
      <w:r>
        <w:rPr>
          <w:rFonts w:cs="Arial"/>
        </w:rPr>
        <w:t xml:space="preserve">.  He quotes </w:t>
      </w:r>
      <w:r w:rsidR="00565555">
        <w:rPr>
          <w:rFonts w:cs="Arial"/>
        </w:rPr>
        <w:t>from</w:t>
      </w:r>
      <w:r>
        <w:rPr>
          <w:rFonts w:cs="Arial"/>
        </w:rPr>
        <w:t xml:space="preserve"> the book </w:t>
      </w:r>
      <w:r w:rsidRPr="00565555">
        <w:rPr>
          <w:rFonts w:cs="Arial"/>
          <w:i/>
        </w:rPr>
        <w:t>Victorious Eschatology</w:t>
      </w:r>
      <w:r w:rsidR="00565555">
        <w:rPr>
          <w:rFonts w:cs="Arial"/>
          <w:i/>
        </w:rPr>
        <w:t xml:space="preserve"> </w:t>
      </w:r>
      <w:r w:rsidR="00565555">
        <w:rPr>
          <w:rFonts w:cs="Arial"/>
        </w:rPr>
        <w:t xml:space="preserve">by Harold </w:t>
      </w:r>
      <w:proofErr w:type="spellStart"/>
      <w:r w:rsidR="00565555">
        <w:rPr>
          <w:rFonts w:cs="Arial"/>
        </w:rPr>
        <w:t>Eberle</w:t>
      </w:r>
      <w:proofErr w:type="spellEnd"/>
      <w:r w:rsidR="00565555">
        <w:rPr>
          <w:rFonts w:cs="Arial"/>
        </w:rPr>
        <w:t xml:space="preserve"> and Martin Trench</w:t>
      </w:r>
      <w:r>
        <w:rPr>
          <w:rFonts w:cs="Arial"/>
        </w:rPr>
        <w:t xml:space="preserve">, “Before Jesus returns, the Church will </w:t>
      </w:r>
      <w:proofErr w:type="gramStart"/>
      <w:r>
        <w:rPr>
          <w:rFonts w:cs="Arial"/>
        </w:rPr>
        <w:t>rise</w:t>
      </w:r>
      <w:proofErr w:type="gramEnd"/>
      <w:r>
        <w:rPr>
          <w:rFonts w:cs="Arial"/>
        </w:rPr>
        <w:t xml:space="preserve"> in glory, unity, and maturity.  The Kingdom of God will grow and advance until it fills the Earth.”</w:t>
      </w:r>
      <w:r w:rsidR="00565555">
        <w:rPr>
          <w:rStyle w:val="FootnoteReference"/>
          <w:rFonts w:cs="Arial"/>
        </w:rPr>
        <w:footnoteReference w:id="23"/>
      </w:r>
      <w:r w:rsidR="00565555">
        <w:rPr>
          <w:rFonts w:cs="Arial"/>
        </w:rPr>
        <w:t xml:space="preserve"> Victorious eschatology argues for a Partial </w:t>
      </w:r>
      <w:proofErr w:type="spellStart"/>
      <w:r w:rsidR="00565555">
        <w:rPr>
          <w:rFonts w:cs="Arial"/>
        </w:rPr>
        <w:t>Preterist</w:t>
      </w:r>
      <w:proofErr w:type="spellEnd"/>
      <w:r w:rsidR="00565555">
        <w:rPr>
          <w:rFonts w:cs="Arial"/>
        </w:rPr>
        <w:t xml:space="preserve"> view of eschatology (the biblical prophecies concerning the last days were literally fulfilled at the time of the destruction of Jerusalem in 70 A.D.) with which Wagner states he personally identifies.</w:t>
      </w:r>
      <w:r w:rsidR="00565555">
        <w:rPr>
          <w:rStyle w:val="FootnoteReference"/>
          <w:rFonts w:cs="Arial"/>
        </w:rPr>
        <w:footnoteReference w:id="24"/>
      </w:r>
    </w:p>
    <w:p w:rsidR="00AA6CC0" w:rsidRDefault="00694B2A" w:rsidP="00EC1B43">
      <w:pPr>
        <w:spacing w:line="480" w:lineRule="auto"/>
        <w:ind w:firstLine="432"/>
        <w:rPr>
          <w:rFonts w:cs="Arial"/>
        </w:rPr>
      </w:pPr>
      <w:r>
        <w:rPr>
          <w:rFonts w:cs="Arial"/>
        </w:rPr>
        <w:t>According to Wagner t</w:t>
      </w:r>
      <w:r w:rsidR="00AA6CC0">
        <w:rPr>
          <w:rFonts w:cs="Arial"/>
        </w:rPr>
        <w:t>he goal of transforming society and establishing God’s kingdom on earth will b</w:t>
      </w:r>
      <w:r w:rsidR="00A536AE">
        <w:rPr>
          <w:rFonts w:cs="Arial"/>
        </w:rPr>
        <w:t>e achieved through three phases: phase o</w:t>
      </w:r>
      <w:r w:rsidR="00AA6CC0">
        <w:rPr>
          <w:rFonts w:cs="Arial"/>
        </w:rPr>
        <w:t xml:space="preserve">ne involves social action much like Rick Warren’s </w:t>
      </w:r>
      <w:r w:rsidR="00A536AE">
        <w:rPr>
          <w:rFonts w:cs="Arial"/>
        </w:rPr>
        <w:t>P.E.A.C.E. Plan and the social and spiritual gospel of the Lausanne movement, phase two goes on to strategic-level-spiritual warfare, and phase three involves such things as apostolic/prophetic government of the Church, dominion theology, and the 7 – Mountain mandate.</w:t>
      </w:r>
      <w:r w:rsidR="00A536AE">
        <w:rPr>
          <w:rStyle w:val="FootnoteReference"/>
          <w:rFonts w:cs="Arial"/>
        </w:rPr>
        <w:footnoteReference w:id="25"/>
      </w:r>
      <w:r w:rsidR="00A536AE">
        <w:rPr>
          <w:rFonts w:cs="Arial"/>
        </w:rPr>
        <w:t xml:space="preserve">  The blessings of this establishment of the kingdom of God can be the elimination of sickness and systemic poverty.</w:t>
      </w:r>
      <w:r w:rsidR="00150721">
        <w:rPr>
          <w:rFonts w:cs="Arial"/>
        </w:rPr>
        <w:t xml:space="preserve">  The following chart </w:t>
      </w:r>
      <w:r w:rsidR="001E37A1">
        <w:rPr>
          <w:rFonts w:cs="Arial"/>
        </w:rPr>
        <w:t>exhibits</w:t>
      </w:r>
      <w:r w:rsidR="00150721">
        <w:rPr>
          <w:rFonts w:cs="Arial"/>
        </w:rPr>
        <w:t xml:space="preserve"> some elements of this view of the kingdom of God:</w:t>
      </w:r>
      <w:r w:rsidR="00D625AD">
        <w:rPr>
          <w:rStyle w:val="FootnoteReference"/>
          <w:rFonts w:cs="Arial"/>
        </w:rPr>
        <w:footnoteReference w:id="26"/>
      </w:r>
    </w:p>
    <w:p w:rsidR="00150721" w:rsidRDefault="00150721" w:rsidP="00657A6B">
      <w:pPr>
        <w:spacing w:line="480" w:lineRule="auto"/>
        <w:jc w:val="center"/>
        <w:rPr>
          <w:rFonts w:cs="Arial"/>
        </w:rPr>
      </w:pPr>
      <w:r w:rsidRPr="00150721">
        <w:rPr>
          <w:rFonts w:cs="Arial"/>
          <w:noProof/>
        </w:rPr>
        <w:lastRenderedPageBreak/>
        <w:drawing>
          <wp:inline distT="0" distB="0" distL="0" distR="0">
            <wp:extent cx="4743450" cy="3133725"/>
            <wp:effectExtent l="19050" t="0" r="0" b="0"/>
            <wp:docPr id="6" name="Picture 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1" cstate="print">
                      <a:lum bright="-10000" contrast="20000"/>
                    </a:blip>
                    <a:srcRect/>
                    <a:stretch>
                      <a:fillRect/>
                    </a:stretch>
                  </pic:blipFill>
                  <pic:spPr bwMode="auto">
                    <a:xfrm>
                      <a:off x="0" y="0"/>
                      <a:ext cx="4743450" cy="3133725"/>
                    </a:xfrm>
                    <a:prstGeom prst="rect">
                      <a:avLst/>
                    </a:prstGeom>
                    <a:noFill/>
                    <a:ln w="9525">
                      <a:noFill/>
                      <a:miter lim="800000"/>
                      <a:headEnd/>
                      <a:tailEnd/>
                    </a:ln>
                  </pic:spPr>
                </pic:pic>
              </a:graphicData>
            </a:graphic>
          </wp:inline>
        </w:drawing>
      </w:r>
    </w:p>
    <w:p w:rsidR="00D625AD" w:rsidRDefault="00D625AD" w:rsidP="00D625AD">
      <w:pPr>
        <w:spacing w:line="480" w:lineRule="auto"/>
        <w:ind w:firstLine="432"/>
        <w:rPr>
          <w:rFonts w:cs="Arial"/>
        </w:rPr>
      </w:pPr>
      <w:r>
        <w:rPr>
          <w:rFonts w:cs="Arial"/>
        </w:rPr>
        <w:t xml:space="preserve">Many associated with </w:t>
      </w:r>
      <w:r w:rsidR="00C83E8C">
        <w:rPr>
          <w:rFonts w:cs="Arial"/>
        </w:rPr>
        <w:t>this kingdom view helped to set up the “Response” prayer event in Houston last August hosted by Governor Rick Perry.</w:t>
      </w:r>
      <w:r w:rsidR="00C83E8C">
        <w:rPr>
          <w:rStyle w:val="FootnoteReference"/>
          <w:rFonts w:cs="Arial"/>
        </w:rPr>
        <w:footnoteReference w:id="27"/>
      </w:r>
      <w:r w:rsidR="00C83E8C">
        <w:rPr>
          <w:rFonts w:cs="Arial"/>
        </w:rPr>
        <w:t xml:space="preserve">  Other “Response” events are planned for 2012.  Responding to press criticism concerning the New Apostolic Reformation’s involvement</w:t>
      </w:r>
      <w:r w:rsidR="005130CB">
        <w:rPr>
          <w:rFonts w:cs="Arial"/>
        </w:rPr>
        <w:t xml:space="preserve"> in the event and use of the term “dominion”</w:t>
      </w:r>
      <w:r w:rsidR="00C83E8C">
        <w:rPr>
          <w:rFonts w:cs="Arial"/>
        </w:rPr>
        <w:t xml:space="preserve">, Wagner wrote in </w:t>
      </w:r>
      <w:r w:rsidR="00C83E8C" w:rsidRPr="005130CB">
        <w:rPr>
          <w:rFonts w:cs="Arial"/>
          <w:i/>
        </w:rPr>
        <w:t>Charisma</w:t>
      </w:r>
      <w:r w:rsidR="00C83E8C">
        <w:rPr>
          <w:rFonts w:cs="Arial"/>
        </w:rPr>
        <w:t>:</w:t>
      </w:r>
    </w:p>
    <w:p w:rsidR="005130CB" w:rsidRDefault="005130CB" w:rsidP="005130CB">
      <w:pPr>
        <w:ind w:left="720"/>
        <w:rPr>
          <w:rFonts w:cs="Arial"/>
        </w:rPr>
      </w:pPr>
      <w:r>
        <w:rPr>
          <w:rFonts w:cs="Arial"/>
        </w:rPr>
        <w:t>The way to achieve dominion is not to become “America’s Taliban,” but to have kingdom minded people in every one of society’s “seven mountains” – Religion, Family, Education, Media, Arts and Entertainment, and Business – so they can use their influence to create an environment in which the blessings and prosperity of the kingdom of God can permeate all areas of society.</w:t>
      </w:r>
      <w:r>
        <w:rPr>
          <w:rStyle w:val="FootnoteReference"/>
          <w:rFonts w:cs="Arial"/>
        </w:rPr>
        <w:footnoteReference w:id="28"/>
      </w:r>
    </w:p>
    <w:p w:rsidR="00D5413E" w:rsidRPr="00FE11FB" w:rsidRDefault="00D5413E" w:rsidP="00FE11FB">
      <w:pPr>
        <w:ind w:left="720"/>
        <w:rPr>
          <w:rFonts w:cs="Arial"/>
          <w:sz w:val="20"/>
          <w:szCs w:val="20"/>
        </w:rPr>
      </w:pPr>
    </w:p>
    <w:p w:rsidR="00F760EA" w:rsidRDefault="009F4E9A" w:rsidP="00F760EA">
      <w:pPr>
        <w:pStyle w:val="ListParagraph"/>
        <w:numPr>
          <w:ilvl w:val="0"/>
          <w:numId w:val="1"/>
        </w:numPr>
        <w:spacing w:line="480" w:lineRule="auto"/>
        <w:ind w:left="360"/>
        <w:rPr>
          <w:rFonts w:cs="Arial"/>
          <w:b/>
        </w:rPr>
      </w:pPr>
      <w:r>
        <w:rPr>
          <w:rFonts w:cs="Arial"/>
          <w:b/>
        </w:rPr>
        <w:t>ALREADY/NOT YET VIEWS</w:t>
      </w:r>
    </w:p>
    <w:p w:rsidR="00F1026F" w:rsidRPr="002F397A" w:rsidRDefault="002F397A" w:rsidP="00F1026F">
      <w:pPr>
        <w:pStyle w:val="ListParagraph"/>
        <w:spacing w:line="480" w:lineRule="auto"/>
        <w:ind w:left="0" w:firstLine="432"/>
        <w:rPr>
          <w:rFonts w:cs="Arial"/>
        </w:rPr>
      </w:pPr>
      <w:r>
        <w:rPr>
          <w:rFonts w:cs="Arial"/>
        </w:rPr>
        <w:t xml:space="preserve">Two views within the </w:t>
      </w:r>
      <w:proofErr w:type="spellStart"/>
      <w:r>
        <w:rPr>
          <w:rFonts w:cs="Arial"/>
        </w:rPr>
        <w:t>premillennial</w:t>
      </w:r>
      <w:proofErr w:type="spellEnd"/>
      <w:r>
        <w:rPr>
          <w:rFonts w:cs="Arial"/>
        </w:rPr>
        <w:t xml:space="preserve"> system of eschatology make use of “already, not yet” terminology in refe</w:t>
      </w:r>
      <w:r w:rsidR="00694B2A">
        <w:rPr>
          <w:rFonts w:cs="Arial"/>
        </w:rPr>
        <w:t xml:space="preserve">rence to the kingdom: </w:t>
      </w:r>
      <w:r>
        <w:rPr>
          <w:rFonts w:cs="Arial"/>
        </w:rPr>
        <w:t xml:space="preserve">historic/covenant </w:t>
      </w:r>
      <w:proofErr w:type="spellStart"/>
      <w:r>
        <w:rPr>
          <w:rFonts w:cs="Arial"/>
        </w:rPr>
        <w:t>premillennialism</w:t>
      </w:r>
      <w:proofErr w:type="spellEnd"/>
      <w:r>
        <w:rPr>
          <w:rFonts w:cs="Arial"/>
        </w:rPr>
        <w:t xml:space="preserve"> and progressive </w:t>
      </w:r>
      <w:r>
        <w:rPr>
          <w:rFonts w:cs="Arial"/>
        </w:rPr>
        <w:lastRenderedPageBreak/>
        <w:t xml:space="preserve">dispensational </w:t>
      </w:r>
      <w:proofErr w:type="spellStart"/>
      <w:r>
        <w:rPr>
          <w:rFonts w:cs="Arial"/>
        </w:rPr>
        <w:t>premillennialism</w:t>
      </w:r>
      <w:proofErr w:type="spellEnd"/>
      <w:r>
        <w:rPr>
          <w:rFonts w:cs="Arial"/>
        </w:rPr>
        <w:t xml:space="preserve">.  </w:t>
      </w:r>
      <w:proofErr w:type="spellStart"/>
      <w:r>
        <w:rPr>
          <w:rFonts w:cs="Arial"/>
        </w:rPr>
        <w:t>Premillennialism</w:t>
      </w:r>
      <w:proofErr w:type="spellEnd"/>
      <w:r>
        <w:rPr>
          <w:rFonts w:cs="Arial"/>
        </w:rPr>
        <w:t xml:space="preserve"> asserts that there will be a literal kingdom of Christ on earth after the Second Coming.</w:t>
      </w:r>
      <w:r w:rsidR="00F056E2">
        <w:rPr>
          <w:rStyle w:val="FootnoteReference"/>
          <w:rFonts w:cs="Arial"/>
        </w:rPr>
        <w:footnoteReference w:id="29"/>
      </w:r>
    </w:p>
    <w:p w:rsidR="00F760EA" w:rsidRPr="00F1026F" w:rsidRDefault="00F760EA" w:rsidP="00F760EA">
      <w:pPr>
        <w:pStyle w:val="ListParagraph"/>
        <w:numPr>
          <w:ilvl w:val="0"/>
          <w:numId w:val="4"/>
        </w:numPr>
        <w:spacing w:line="480" w:lineRule="auto"/>
        <w:ind w:left="360"/>
        <w:rPr>
          <w:rFonts w:cs="Arial"/>
          <w:b/>
        </w:rPr>
      </w:pPr>
      <w:r>
        <w:rPr>
          <w:rFonts w:cs="Arial"/>
          <w:i/>
        </w:rPr>
        <w:t xml:space="preserve">Historic/Covenant </w:t>
      </w:r>
      <w:proofErr w:type="spellStart"/>
      <w:r>
        <w:rPr>
          <w:rFonts w:cs="Arial"/>
          <w:i/>
        </w:rPr>
        <w:t>Premillennialism</w:t>
      </w:r>
      <w:proofErr w:type="spellEnd"/>
      <w:r w:rsidR="00751FA2">
        <w:rPr>
          <w:rFonts w:cs="Arial"/>
          <w:i/>
        </w:rPr>
        <w:t xml:space="preserve"> – Kingdom Inauguration/Consummation</w:t>
      </w:r>
    </w:p>
    <w:p w:rsidR="00F1026F" w:rsidRDefault="00F1026F" w:rsidP="00F1026F">
      <w:pPr>
        <w:spacing w:line="480" w:lineRule="auto"/>
        <w:ind w:firstLine="432"/>
        <w:rPr>
          <w:rFonts w:cs="Arial"/>
        </w:rPr>
      </w:pPr>
      <w:r>
        <w:rPr>
          <w:rFonts w:cs="Arial"/>
        </w:rPr>
        <w:t xml:space="preserve">George Eldon Ladd published </w:t>
      </w:r>
      <w:r w:rsidR="00FA097D">
        <w:rPr>
          <w:rFonts w:cs="Arial"/>
        </w:rPr>
        <w:t>a number of influential works within</w:t>
      </w:r>
      <w:r>
        <w:rPr>
          <w:rFonts w:cs="Arial"/>
        </w:rPr>
        <w:t xml:space="preserve"> the historic/covenant </w:t>
      </w:r>
      <w:proofErr w:type="spellStart"/>
      <w:r>
        <w:rPr>
          <w:rFonts w:cs="Arial"/>
        </w:rPr>
        <w:t>premillennial</w:t>
      </w:r>
      <w:proofErr w:type="spellEnd"/>
      <w:r>
        <w:rPr>
          <w:rFonts w:cs="Arial"/>
        </w:rPr>
        <w:t xml:space="preserve"> view of the kingdom.</w:t>
      </w:r>
      <w:r>
        <w:rPr>
          <w:rStyle w:val="FootnoteReference"/>
          <w:rFonts w:cs="Arial"/>
        </w:rPr>
        <w:footnoteReference w:id="30"/>
      </w:r>
      <w:r w:rsidR="00FF24AF">
        <w:rPr>
          <w:rFonts w:cs="Arial"/>
        </w:rPr>
        <w:t xml:space="preserve"> The</w:t>
      </w:r>
      <w:r w:rsidR="007B6E73">
        <w:rPr>
          <w:rFonts w:cs="Arial"/>
        </w:rPr>
        <w:t xml:space="preserve"> </w:t>
      </w:r>
      <w:r w:rsidR="00CC2E7F">
        <w:rPr>
          <w:rFonts w:cs="Arial"/>
        </w:rPr>
        <w:t>kingdom</w:t>
      </w:r>
      <w:r w:rsidR="007B6E73">
        <w:rPr>
          <w:rFonts w:cs="Arial"/>
        </w:rPr>
        <w:t xml:space="preserve"> is both present and future</w:t>
      </w:r>
      <w:r w:rsidR="00CC2E7F">
        <w:rPr>
          <w:rFonts w:cs="Arial"/>
        </w:rPr>
        <w:t xml:space="preserve">.  The kingdom is “already” and “not yet”.  </w:t>
      </w:r>
      <w:r w:rsidR="00B97D75">
        <w:rPr>
          <w:rFonts w:cs="Arial"/>
        </w:rPr>
        <w:t xml:space="preserve">The kingdom was </w:t>
      </w:r>
      <w:r w:rsidR="00EF5989">
        <w:rPr>
          <w:rFonts w:cs="Arial"/>
        </w:rPr>
        <w:t>inaugurated</w:t>
      </w:r>
      <w:r w:rsidR="00B97D75">
        <w:rPr>
          <w:rFonts w:cs="Arial"/>
        </w:rPr>
        <w:t xml:space="preserve"> at the first coming of Christ and </w:t>
      </w:r>
      <w:r w:rsidR="00E3550B">
        <w:rPr>
          <w:rFonts w:cs="Arial"/>
        </w:rPr>
        <w:t xml:space="preserve">is present </w:t>
      </w:r>
      <w:r w:rsidR="00B97D75">
        <w:rPr>
          <w:rFonts w:cs="Arial"/>
        </w:rPr>
        <w:t xml:space="preserve">spiritually during the church age.  </w:t>
      </w:r>
      <w:r w:rsidR="00CC2E7F">
        <w:rPr>
          <w:rFonts w:cs="Arial"/>
        </w:rPr>
        <w:t xml:space="preserve">The resurrection and rapture of the church will take place at the end of the tribulation at the Second Coming of Christ. </w:t>
      </w:r>
      <w:r w:rsidR="007B6E73">
        <w:rPr>
          <w:rFonts w:cs="Arial"/>
        </w:rPr>
        <w:t>The kingdom will be consummated with t</w:t>
      </w:r>
      <w:r w:rsidR="00CC2E7F">
        <w:rPr>
          <w:rFonts w:cs="Arial"/>
        </w:rPr>
        <w:t xml:space="preserve">he millennial reign of Christ on earth.  </w:t>
      </w:r>
      <w:r w:rsidR="00E65653">
        <w:rPr>
          <w:rFonts w:cs="Arial"/>
        </w:rPr>
        <w:t xml:space="preserve">The following chart exhibits some of the elements of historic/covenant </w:t>
      </w:r>
      <w:proofErr w:type="spellStart"/>
      <w:r w:rsidR="00E65653">
        <w:rPr>
          <w:rFonts w:cs="Arial"/>
        </w:rPr>
        <w:t>premillennialism</w:t>
      </w:r>
      <w:proofErr w:type="spellEnd"/>
      <w:r w:rsidR="00CC2E7F">
        <w:rPr>
          <w:rFonts w:cs="Arial"/>
        </w:rPr>
        <w:t>:</w:t>
      </w:r>
      <w:r w:rsidR="00B97D75">
        <w:rPr>
          <w:rStyle w:val="FootnoteReference"/>
          <w:rFonts w:cs="Arial"/>
        </w:rPr>
        <w:footnoteReference w:id="31"/>
      </w:r>
    </w:p>
    <w:p w:rsidR="00CC2E7F" w:rsidRDefault="00CC2E7F" w:rsidP="00B97D75">
      <w:pPr>
        <w:spacing w:line="480" w:lineRule="auto"/>
        <w:rPr>
          <w:rFonts w:cs="Arial"/>
        </w:rPr>
      </w:pPr>
      <w:r w:rsidRPr="00CC2E7F">
        <w:rPr>
          <w:rFonts w:cs="Arial"/>
          <w:noProof/>
        </w:rPr>
        <w:drawing>
          <wp:inline distT="0" distB="0" distL="0" distR="0">
            <wp:extent cx="5943600" cy="2358390"/>
            <wp:effectExtent l="19050" t="0" r="0" b="0"/>
            <wp:docPr id="7" name="Picture 6"/>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cstate="print"/>
                    <a:srcRect/>
                    <a:stretch>
                      <a:fillRect/>
                    </a:stretch>
                  </pic:blipFill>
                  <pic:spPr bwMode="auto">
                    <a:xfrm>
                      <a:off x="0" y="0"/>
                      <a:ext cx="5943600" cy="2358390"/>
                    </a:xfrm>
                    <a:prstGeom prst="rect">
                      <a:avLst/>
                    </a:prstGeom>
                    <a:noFill/>
                    <a:ln w="9525">
                      <a:noFill/>
                      <a:miter lim="800000"/>
                      <a:headEnd/>
                      <a:tailEnd/>
                    </a:ln>
                  </pic:spPr>
                </pic:pic>
              </a:graphicData>
            </a:graphic>
          </wp:inline>
        </w:drawing>
      </w:r>
    </w:p>
    <w:p w:rsidR="004E1414" w:rsidRDefault="00CC2E7F" w:rsidP="00F1026F">
      <w:pPr>
        <w:spacing w:line="480" w:lineRule="auto"/>
        <w:ind w:firstLine="432"/>
        <w:rPr>
          <w:rFonts w:cs="Arial"/>
        </w:rPr>
      </w:pPr>
      <w:r>
        <w:rPr>
          <w:rFonts w:cs="Arial"/>
        </w:rPr>
        <w:t>The church is spiritual Israel in this age.  Th</w:t>
      </w:r>
      <w:r w:rsidR="002740F5">
        <w:rPr>
          <w:rFonts w:cs="Arial"/>
        </w:rPr>
        <w:t>ough there</w:t>
      </w:r>
      <w:r>
        <w:rPr>
          <w:rFonts w:cs="Arial"/>
        </w:rPr>
        <w:t xml:space="preserve"> will </w:t>
      </w:r>
      <w:r w:rsidR="002740F5">
        <w:rPr>
          <w:rFonts w:cs="Arial"/>
        </w:rPr>
        <w:t>be a future role for Israel in the millennial kingdom.</w:t>
      </w:r>
      <w:r w:rsidR="00583D09">
        <w:rPr>
          <w:rFonts w:cs="Arial"/>
        </w:rPr>
        <w:t xml:space="preserve"> </w:t>
      </w:r>
    </w:p>
    <w:p w:rsidR="004A3E54" w:rsidRDefault="004E1414" w:rsidP="00F1026F">
      <w:pPr>
        <w:spacing w:line="480" w:lineRule="auto"/>
        <w:ind w:firstLine="432"/>
        <w:rPr>
          <w:rFonts w:cs="Arial"/>
        </w:rPr>
      </w:pPr>
      <w:r>
        <w:rPr>
          <w:rFonts w:cs="Arial"/>
        </w:rPr>
        <w:t>The</w:t>
      </w:r>
      <w:r w:rsidR="004A3E54">
        <w:rPr>
          <w:rFonts w:cs="Arial"/>
        </w:rPr>
        <w:t xml:space="preserve"> view that the church now replaces Israel can affect one’s view of Jewish and Christian Zionism.  A young man who was completing an advanced theological degree</w:t>
      </w:r>
      <w:r w:rsidR="00583D09">
        <w:rPr>
          <w:rFonts w:cs="Arial"/>
        </w:rPr>
        <w:t xml:space="preserve"> from a European </w:t>
      </w:r>
      <w:r w:rsidR="00583D09">
        <w:rPr>
          <w:rFonts w:cs="Arial"/>
        </w:rPr>
        <w:lastRenderedPageBreak/>
        <w:t>school</w:t>
      </w:r>
      <w:r w:rsidR="00E86042">
        <w:rPr>
          <w:rFonts w:cs="Arial"/>
        </w:rPr>
        <w:t xml:space="preserve"> started attending the church I</w:t>
      </w:r>
      <w:r w:rsidR="00FB5880">
        <w:rPr>
          <w:rFonts w:cs="Arial"/>
        </w:rPr>
        <w:t xml:space="preserve"> </w:t>
      </w:r>
      <w:r w:rsidR="004A3E54">
        <w:rPr>
          <w:rFonts w:cs="Arial"/>
        </w:rPr>
        <w:t xml:space="preserve">pastor.  On our first visit over coffee he mentioned to me that he was a historic </w:t>
      </w:r>
      <w:proofErr w:type="spellStart"/>
      <w:r w:rsidR="004A3E54">
        <w:rPr>
          <w:rFonts w:cs="Arial"/>
        </w:rPr>
        <w:t>pre</w:t>
      </w:r>
      <w:r w:rsidR="00583D09">
        <w:rPr>
          <w:rFonts w:cs="Arial"/>
        </w:rPr>
        <w:t>millennialist</w:t>
      </w:r>
      <w:proofErr w:type="spellEnd"/>
      <w:r w:rsidR="00583D09">
        <w:rPr>
          <w:rFonts w:cs="Arial"/>
        </w:rPr>
        <w:t>.  Over the year that he came he</w:t>
      </w:r>
      <w:r>
        <w:rPr>
          <w:rFonts w:cs="Arial"/>
        </w:rPr>
        <w:t xml:space="preserve"> periodically</w:t>
      </w:r>
      <w:r w:rsidR="00583D09">
        <w:rPr>
          <w:rFonts w:cs="Arial"/>
        </w:rPr>
        <w:t xml:space="preserve"> made very negative comments about the nation of Israel and very supportive comments of the Palestinian cause.</w:t>
      </w:r>
    </w:p>
    <w:p w:rsidR="002740F5" w:rsidRPr="00F1026F" w:rsidRDefault="004E1414" w:rsidP="00F1026F">
      <w:pPr>
        <w:spacing w:line="480" w:lineRule="auto"/>
        <w:ind w:firstLine="432"/>
        <w:rPr>
          <w:rFonts w:cs="Arial"/>
        </w:rPr>
      </w:pPr>
      <w:r>
        <w:rPr>
          <w:rFonts w:cs="Arial"/>
        </w:rPr>
        <w:t xml:space="preserve">If there is a present aspect of the Messianic kingdom today, then it affects </w:t>
      </w:r>
      <w:r w:rsidR="00FB5880">
        <w:rPr>
          <w:rFonts w:cs="Arial"/>
        </w:rPr>
        <w:t xml:space="preserve">the </w:t>
      </w:r>
      <w:r>
        <w:rPr>
          <w:rFonts w:cs="Arial"/>
        </w:rPr>
        <w:t xml:space="preserve">mission of the church.  </w:t>
      </w:r>
      <w:r w:rsidR="00EC56E8">
        <w:rPr>
          <w:rFonts w:cs="Arial"/>
        </w:rPr>
        <w:t>It provides greater support for the view that the</w:t>
      </w:r>
      <w:r w:rsidR="00B25A28">
        <w:rPr>
          <w:rFonts w:cs="Arial"/>
        </w:rPr>
        <w:t xml:space="preserve"> church has </w:t>
      </w:r>
      <w:r>
        <w:rPr>
          <w:rFonts w:cs="Arial"/>
        </w:rPr>
        <w:t xml:space="preserve">both </w:t>
      </w:r>
      <w:r w:rsidR="00B25A28">
        <w:rPr>
          <w:rFonts w:cs="Arial"/>
        </w:rPr>
        <w:t xml:space="preserve">a cultural </w:t>
      </w:r>
      <w:r w:rsidR="00F235EF">
        <w:rPr>
          <w:rFonts w:cs="Arial"/>
        </w:rPr>
        <w:t xml:space="preserve">and spiritual </w:t>
      </w:r>
      <w:r w:rsidR="00B25A28">
        <w:rPr>
          <w:rFonts w:cs="Arial"/>
        </w:rPr>
        <w:t>manda</w:t>
      </w:r>
      <w:r w:rsidR="00D60835">
        <w:rPr>
          <w:rFonts w:cs="Arial"/>
        </w:rPr>
        <w:t>te in this age, a social and evangelistic mission.</w:t>
      </w:r>
    </w:p>
    <w:p w:rsidR="00F056E2" w:rsidRDefault="00F760EA" w:rsidP="00F056E2">
      <w:pPr>
        <w:pStyle w:val="ListParagraph"/>
        <w:numPr>
          <w:ilvl w:val="0"/>
          <w:numId w:val="4"/>
        </w:numPr>
        <w:spacing w:line="480" w:lineRule="auto"/>
        <w:ind w:left="360"/>
        <w:rPr>
          <w:rFonts w:cs="Arial"/>
          <w:i/>
        </w:rPr>
      </w:pPr>
      <w:r>
        <w:rPr>
          <w:rFonts w:cs="Arial"/>
          <w:i/>
        </w:rPr>
        <w:t xml:space="preserve">Progressive Dispensational </w:t>
      </w:r>
      <w:proofErr w:type="spellStart"/>
      <w:r>
        <w:rPr>
          <w:rFonts w:cs="Arial"/>
          <w:i/>
        </w:rPr>
        <w:t>Premillennialism</w:t>
      </w:r>
      <w:proofErr w:type="spellEnd"/>
      <w:r w:rsidR="00751FA2">
        <w:rPr>
          <w:rFonts w:cs="Arial"/>
          <w:i/>
        </w:rPr>
        <w:t xml:space="preserve"> – Kingdom Inauguration/</w:t>
      </w:r>
      <w:r w:rsidR="009E465B">
        <w:rPr>
          <w:rFonts w:cs="Arial"/>
          <w:i/>
        </w:rPr>
        <w:t>Fulfillment</w:t>
      </w:r>
    </w:p>
    <w:p w:rsidR="00F056E2" w:rsidRDefault="001753A4" w:rsidP="00F056E2">
      <w:pPr>
        <w:spacing w:line="480" w:lineRule="auto"/>
        <w:ind w:firstLine="432"/>
        <w:rPr>
          <w:rFonts w:cs="Arial"/>
        </w:rPr>
      </w:pPr>
      <w:r>
        <w:rPr>
          <w:rFonts w:cs="Arial"/>
        </w:rPr>
        <w:t>Progressive dispensationalists teach that the kingdom is both present and future.</w:t>
      </w:r>
      <w:r>
        <w:rPr>
          <w:rStyle w:val="FootnoteReference"/>
          <w:rFonts w:cs="Arial"/>
        </w:rPr>
        <w:footnoteReference w:id="32"/>
      </w:r>
      <w:r w:rsidR="00015BDB">
        <w:rPr>
          <w:rFonts w:cs="Arial"/>
        </w:rPr>
        <w:t xml:space="preserve">  Robert Saucy writes that they present a mediating position between non-</w:t>
      </w:r>
      <w:proofErr w:type="spellStart"/>
      <w:r w:rsidR="00015BDB">
        <w:rPr>
          <w:rFonts w:cs="Arial"/>
        </w:rPr>
        <w:t>dispensationalism</w:t>
      </w:r>
      <w:proofErr w:type="spellEnd"/>
      <w:r w:rsidR="00015BDB">
        <w:rPr>
          <w:rFonts w:cs="Arial"/>
        </w:rPr>
        <w:t xml:space="preserve"> and traditional </w:t>
      </w:r>
      <w:proofErr w:type="spellStart"/>
      <w:r w:rsidR="00015BDB">
        <w:rPr>
          <w:rFonts w:cs="Arial"/>
        </w:rPr>
        <w:t>dispensationalism</w:t>
      </w:r>
      <w:proofErr w:type="spellEnd"/>
      <w:r w:rsidR="00015BDB">
        <w:rPr>
          <w:rFonts w:cs="Arial"/>
        </w:rPr>
        <w:t>.</w:t>
      </w:r>
      <w:r w:rsidR="00015BDB">
        <w:rPr>
          <w:rStyle w:val="FootnoteReference"/>
          <w:rFonts w:cs="Arial"/>
        </w:rPr>
        <w:footnoteReference w:id="33"/>
      </w:r>
      <w:r w:rsidR="002B37E5">
        <w:rPr>
          <w:rFonts w:cs="Arial"/>
        </w:rPr>
        <w:t xml:space="preserve"> Darrell Bock set</w:t>
      </w:r>
      <w:r w:rsidR="00015BDB">
        <w:rPr>
          <w:rFonts w:cs="Arial"/>
        </w:rPr>
        <w:t>s</w:t>
      </w:r>
      <w:r w:rsidR="002B37E5">
        <w:rPr>
          <w:rFonts w:cs="Arial"/>
        </w:rPr>
        <w:t xml:space="preserve"> forth</w:t>
      </w:r>
      <w:r w:rsidR="00015BDB">
        <w:rPr>
          <w:rFonts w:cs="Arial"/>
        </w:rPr>
        <w:t xml:space="preserve"> the duality of kingdom inauguration and kingdom fulfillment:</w:t>
      </w:r>
    </w:p>
    <w:p w:rsidR="00657A6B" w:rsidRDefault="00015BDB" w:rsidP="00657A6B">
      <w:pPr>
        <w:ind w:left="720"/>
        <w:rPr>
          <w:rFonts w:cs="Arial"/>
          <w:sz w:val="20"/>
          <w:szCs w:val="20"/>
        </w:rPr>
      </w:pPr>
      <w:r w:rsidRPr="00015BDB">
        <w:rPr>
          <w:rFonts w:cs="Arial"/>
          <w:sz w:val="20"/>
          <w:szCs w:val="20"/>
        </w:rPr>
        <w:t>The kingdom theme reveals the stages of Jesus’</w:t>
      </w:r>
      <w:r>
        <w:rPr>
          <w:rFonts w:cs="Arial"/>
          <w:sz w:val="20"/>
          <w:szCs w:val="20"/>
        </w:rPr>
        <w:t xml:space="preserve"> rule….</w:t>
      </w:r>
      <w:r w:rsidRPr="00015BDB">
        <w:rPr>
          <w:rFonts w:cs="Arial"/>
          <w:sz w:val="20"/>
          <w:szCs w:val="20"/>
        </w:rPr>
        <w:t>First, there is the inauguration with Jesus’ coming</w:t>
      </w:r>
      <w:r>
        <w:rPr>
          <w:rFonts w:cs="Arial"/>
          <w:sz w:val="20"/>
          <w:szCs w:val="20"/>
        </w:rPr>
        <w:t>….</w:t>
      </w:r>
      <w:r w:rsidR="002B37E5">
        <w:rPr>
          <w:rFonts w:cs="Arial"/>
          <w:sz w:val="20"/>
          <w:szCs w:val="20"/>
        </w:rPr>
        <w:t>In the initial phase, one can speak of the “already,” the “sneak preview,” or the invisible “kingdom rule of Jesus”….The new covenant is inaugurated, but not totally consummated.  Jesus’ rule from God’s right hand initially yet decisively fulfills promises made to David….Those who believe now are a pictu</w:t>
      </w:r>
      <w:r w:rsidR="00B71CFF">
        <w:rPr>
          <w:rFonts w:cs="Arial"/>
          <w:sz w:val="20"/>
          <w:szCs w:val="20"/>
        </w:rPr>
        <w:t>re of what will appear in greater</w:t>
      </w:r>
      <w:r w:rsidR="002B37E5">
        <w:rPr>
          <w:rFonts w:cs="Arial"/>
          <w:sz w:val="20"/>
          <w:szCs w:val="20"/>
        </w:rPr>
        <w:t xml:space="preserve"> form in the consummation….[The church] is a sneak preview of what is to come…</w:t>
      </w:r>
      <w:r w:rsidR="00B71CFF">
        <w:rPr>
          <w:rFonts w:cs="Arial"/>
          <w:sz w:val="20"/>
          <w:szCs w:val="20"/>
        </w:rPr>
        <w:t>.The church is the current phase of the kingdom…The church’s call and mission is to be a light and point the way to God both in its message and in the caring activity of its daily life…Confusion about the identity of the kingdom, its subjects, and its nature leads to confusion about the church’s mission and mandate…In the second stage, the promise moves to ultimate consummation….two stage program of kingdom-covenant fulfillment.</w:t>
      </w:r>
      <w:r w:rsidR="00B71CFF">
        <w:rPr>
          <w:rStyle w:val="FootnoteReference"/>
          <w:rFonts w:cs="Arial"/>
          <w:sz w:val="20"/>
          <w:szCs w:val="20"/>
        </w:rPr>
        <w:footnoteReference w:id="34"/>
      </w:r>
    </w:p>
    <w:p w:rsidR="00657A6B" w:rsidRPr="00657A6B" w:rsidRDefault="00657A6B" w:rsidP="00657A6B">
      <w:pPr>
        <w:ind w:left="720"/>
        <w:rPr>
          <w:rFonts w:cs="Arial"/>
          <w:sz w:val="20"/>
          <w:szCs w:val="20"/>
        </w:rPr>
      </w:pPr>
    </w:p>
    <w:p w:rsidR="00657A6B" w:rsidRDefault="003F652A" w:rsidP="00111FBB">
      <w:pPr>
        <w:spacing w:line="480" w:lineRule="auto"/>
        <w:ind w:firstLine="432"/>
        <w:rPr>
          <w:rFonts w:cs="Arial"/>
        </w:rPr>
      </w:pPr>
      <w:r>
        <w:rPr>
          <w:rFonts w:cs="Arial"/>
        </w:rPr>
        <w:t>David L. Turner describes the kingdom in terms of three phases:</w:t>
      </w:r>
      <w:r w:rsidR="00111FBB" w:rsidRPr="00111FBB">
        <w:rPr>
          <w:rFonts w:cs="Arial"/>
          <w:sz w:val="20"/>
          <w:szCs w:val="20"/>
        </w:rPr>
        <w:t xml:space="preserve"> </w:t>
      </w:r>
      <w:r w:rsidR="00111FBB">
        <w:rPr>
          <w:rFonts w:cs="Arial"/>
          <w:sz w:val="20"/>
          <w:szCs w:val="20"/>
        </w:rPr>
        <w:t>“</w:t>
      </w:r>
      <w:r w:rsidR="00111FBB" w:rsidRPr="00111FBB">
        <w:rPr>
          <w:rFonts w:cs="Arial"/>
        </w:rPr>
        <w:t>a preliminary and anticipatory stage brought to ear</w:t>
      </w:r>
      <w:r w:rsidR="00B61E9E">
        <w:rPr>
          <w:rFonts w:cs="Arial"/>
        </w:rPr>
        <w:t>th by the first coming of Christ [a bronze age]</w:t>
      </w:r>
      <w:r w:rsidR="00111FBB" w:rsidRPr="00111FBB">
        <w:rPr>
          <w:rFonts w:cs="Arial"/>
        </w:rPr>
        <w:t xml:space="preserve">, an intermediate silver age brought to earth at Christ’s second coming, and an ultimate, golden age, consummated </w:t>
      </w:r>
      <w:r w:rsidR="00111FBB" w:rsidRPr="00111FBB">
        <w:rPr>
          <w:rFonts w:cs="Arial"/>
        </w:rPr>
        <w:lastRenderedPageBreak/>
        <w:t>when all opposition to God’s rule has ceased.</w:t>
      </w:r>
      <w:r w:rsidR="00111FBB">
        <w:rPr>
          <w:rFonts w:cs="Arial"/>
        </w:rPr>
        <w:t>”</w:t>
      </w:r>
      <w:r w:rsidR="00111FBB">
        <w:rPr>
          <w:rStyle w:val="FootnoteReference"/>
          <w:rFonts w:cs="Arial"/>
        </w:rPr>
        <w:footnoteReference w:id="35"/>
      </w:r>
      <w:r w:rsidR="00111FBB">
        <w:rPr>
          <w:rFonts w:cs="Arial"/>
        </w:rPr>
        <w:t xml:space="preserve">  Those who now believe are “an earthly colony of the coming heavenly city, the new Jerusalem.”</w:t>
      </w:r>
      <w:r w:rsidR="00111FBB">
        <w:rPr>
          <w:rStyle w:val="FootnoteReference"/>
          <w:rFonts w:cs="Arial"/>
        </w:rPr>
        <w:footnoteReference w:id="36"/>
      </w:r>
    </w:p>
    <w:p w:rsidR="000154C7" w:rsidRDefault="000154C7" w:rsidP="00111FBB">
      <w:pPr>
        <w:spacing w:line="480" w:lineRule="auto"/>
        <w:ind w:firstLine="432"/>
        <w:rPr>
          <w:rFonts w:cs="Arial"/>
        </w:rPr>
      </w:pPr>
      <w:r>
        <w:rPr>
          <w:rFonts w:cs="Arial"/>
        </w:rPr>
        <w:t xml:space="preserve">Craig </w:t>
      </w:r>
      <w:proofErr w:type="spellStart"/>
      <w:r>
        <w:rPr>
          <w:rFonts w:cs="Arial"/>
        </w:rPr>
        <w:t>Blaising</w:t>
      </w:r>
      <w:proofErr w:type="spellEnd"/>
      <w:r>
        <w:rPr>
          <w:rFonts w:cs="Arial"/>
        </w:rPr>
        <w:t xml:space="preserve"> portrays in a chart the </w:t>
      </w:r>
      <w:r w:rsidR="00E65653">
        <w:rPr>
          <w:rFonts w:cs="Arial"/>
        </w:rPr>
        <w:t>kingdom view of</w:t>
      </w:r>
      <w:r>
        <w:rPr>
          <w:rFonts w:cs="Arial"/>
        </w:rPr>
        <w:t xml:space="preserve"> progressive </w:t>
      </w:r>
      <w:proofErr w:type="spellStart"/>
      <w:r>
        <w:rPr>
          <w:rFonts w:cs="Arial"/>
        </w:rPr>
        <w:t>dispensationalism</w:t>
      </w:r>
      <w:proofErr w:type="spellEnd"/>
      <w:r>
        <w:rPr>
          <w:rFonts w:cs="Arial"/>
        </w:rPr>
        <w:t>:</w:t>
      </w:r>
      <w:r>
        <w:rPr>
          <w:rStyle w:val="FootnoteReference"/>
          <w:rFonts w:cs="Arial"/>
        </w:rPr>
        <w:footnoteReference w:id="37"/>
      </w:r>
    </w:p>
    <w:p w:rsidR="000154C7" w:rsidRPr="00111FBB" w:rsidRDefault="000154C7" w:rsidP="007E6A62">
      <w:pPr>
        <w:spacing w:line="480" w:lineRule="auto"/>
        <w:ind w:firstLine="432"/>
        <w:jc w:val="center"/>
        <w:rPr>
          <w:rFonts w:cs="Arial"/>
        </w:rPr>
      </w:pPr>
      <w:r w:rsidRPr="000154C7">
        <w:rPr>
          <w:rFonts w:cs="Arial"/>
          <w:noProof/>
        </w:rPr>
        <w:drawing>
          <wp:inline distT="0" distB="0" distL="0" distR="0">
            <wp:extent cx="5581650" cy="3228975"/>
            <wp:effectExtent l="19050" t="0" r="0" b="0"/>
            <wp:docPr id="8" name="Picture 7"/>
            <wp:cNvGraphicFramePr/>
            <a:graphic xmlns:a="http://schemas.openxmlformats.org/drawingml/2006/main">
              <a:graphicData uri="http://schemas.openxmlformats.org/drawingml/2006/picture">
                <pic:pic xmlns:pic="http://schemas.openxmlformats.org/drawingml/2006/picture">
                  <pic:nvPicPr>
                    <pic:cNvPr id="40962" name="Picture 2"/>
                    <pic:cNvPicPr>
                      <a:picLocks noChangeAspect="1" noChangeArrowheads="1"/>
                    </pic:cNvPicPr>
                  </pic:nvPicPr>
                  <pic:blipFill>
                    <a:blip r:embed="rId13" cstate="print">
                      <a:lum bright="-20000" contrast="40000"/>
                    </a:blip>
                    <a:srcRect/>
                    <a:stretch>
                      <a:fillRect/>
                    </a:stretch>
                  </pic:blipFill>
                  <pic:spPr bwMode="auto">
                    <a:xfrm>
                      <a:off x="0" y="0"/>
                      <a:ext cx="5581650" cy="3228975"/>
                    </a:xfrm>
                    <a:prstGeom prst="rect">
                      <a:avLst/>
                    </a:prstGeom>
                    <a:noFill/>
                    <a:ln w="9525">
                      <a:noFill/>
                      <a:miter lim="800000"/>
                      <a:headEnd/>
                      <a:tailEnd/>
                    </a:ln>
                  </pic:spPr>
                </pic:pic>
              </a:graphicData>
            </a:graphic>
          </wp:inline>
        </w:drawing>
      </w:r>
    </w:p>
    <w:p w:rsidR="00AB3D63" w:rsidRDefault="009F4E9A" w:rsidP="00F760EA">
      <w:pPr>
        <w:pStyle w:val="ListParagraph"/>
        <w:numPr>
          <w:ilvl w:val="0"/>
          <w:numId w:val="1"/>
        </w:numPr>
        <w:spacing w:line="480" w:lineRule="auto"/>
        <w:ind w:left="360"/>
        <w:rPr>
          <w:rFonts w:cs="Arial"/>
          <w:b/>
        </w:rPr>
      </w:pPr>
      <w:r w:rsidRPr="00F760EA">
        <w:rPr>
          <w:rFonts w:cs="Arial"/>
          <w:b/>
        </w:rPr>
        <w:t>NOT YET VIEWS</w:t>
      </w:r>
    </w:p>
    <w:p w:rsidR="00A31003" w:rsidRDefault="00716CF1" w:rsidP="00716CF1">
      <w:pPr>
        <w:spacing w:line="480" w:lineRule="auto"/>
        <w:ind w:firstLine="432"/>
        <w:rPr>
          <w:rFonts w:cs="Arial"/>
        </w:rPr>
      </w:pPr>
      <w:r>
        <w:rPr>
          <w:rFonts w:cs="Arial"/>
        </w:rPr>
        <w:t xml:space="preserve">A form of </w:t>
      </w:r>
      <w:proofErr w:type="spellStart"/>
      <w:r>
        <w:rPr>
          <w:rFonts w:cs="Arial"/>
        </w:rPr>
        <w:t>premillennialism</w:t>
      </w:r>
      <w:proofErr w:type="spellEnd"/>
      <w:r>
        <w:rPr>
          <w:rFonts w:cs="Arial"/>
        </w:rPr>
        <w:t xml:space="preserve"> is </w:t>
      </w:r>
      <w:proofErr w:type="spellStart"/>
      <w:r>
        <w:rPr>
          <w:rFonts w:cs="Arial"/>
        </w:rPr>
        <w:t>dispensationalism</w:t>
      </w:r>
      <w:proofErr w:type="spellEnd"/>
      <w:r>
        <w:rPr>
          <w:rFonts w:cs="Arial"/>
        </w:rPr>
        <w:t xml:space="preserve">.  Like </w:t>
      </w:r>
      <w:r w:rsidR="00A31003">
        <w:rPr>
          <w:rFonts w:cs="Arial"/>
        </w:rPr>
        <w:t>historic/</w:t>
      </w:r>
      <w:r>
        <w:rPr>
          <w:rFonts w:cs="Arial"/>
        </w:rPr>
        <w:t xml:space="preserve">covenant </w:t>
      </w:r>
      <w:proofErr w:type="spellStart"/>
      <w:r>
        <w:rPr>
          <w:rFonts w:cs="Arial"/>
        </w:rPr>
        <w:t>premillennialists</w:t>
      </w:r>
      <w:proofErr w:type="spellEnd"/>
      <w:r w:rsidR="00A31003">
        <w:rPr>
          <w:rFonts w:cs="Arial"/>
        </w:rPr>
        <w:t>,</w:t>
      </w:r>
      <w:r>
        <w:rPr>
          <w:rFonts w:cs="Arial"/>
        </w:rPr>
        <w:t xml:space="preserve"> it </w:t>
      </w:r>
      <w:r w:rsidR="001E37A1">
        <w:rPr>
          <w:rFonts w:cs="Arial"/>
        </w:rPr>
        <w:t>holds</w:t>
      </w:r>
      <w:r>
        <w:rPr>
          <w:rFonts w:cs="Arial"/>
        </w:rPr>
        <w:t xml:space="preserve"> that Christ will return to earth to reign </w:t>
      </w:r>
      <w:r w:rsidR="00A31003">
        <w:rPr>
          <w:rFonts w:cs="Arial"/>
        </w:rPr>
        <w:t>over a millennial kingdom</w:t>
      </w:r>
      <w:r>
        <w:rPr>
          <w:rFonts w:cs="Arial"/>
        </w:rPr>
        <w:t>.  It also teaches that Christ will return at a time of tribulatio</w:t>
      </w:r>
      <w:r w:rsidR="00A31003">
        <w:rPr>
          <w:rFonts w:cs="Arial"/>
        </w:rPr>
        <w:t>n.  However, unlike historic/</w:t>
      </w:r>
      <w:r>
        <w:rPr>
          <w:rFonts w:cs="Arial"/>
        </w:rPr>
        <w:t xml:space="preserve">covenant </w:t>
      </w:r>
      <w:proofErr w:type="spellStart"/>
      <w:r>
        <w:rPr>
          <w:rFonts w:cs="Arial"/>
        </w:rPr>
        <w:t>premillennialists</w:t>
      </w:r>
      <w:proofErr w:type="spellEnd"/>
      <w:r>
        <w:rPr>
          <w:rFonts w:cs="Arial"/>
        </w:rPr>
        <w:t xml:space="preserve">, many dispensationalists hold to a </w:t>
      </w:r>
      <w:proofErr w:type="spellStart"/>
      <w:r>
        <w:rPr>
          <w:rFonts w:cs="Arial"/>
        </w:rPr>
        <w:t>pretribulational</w:t>
      </w:r>
      <w:proofErr w:type="spellEnd"/>
      <w:r>
        <w:rPr>
          <w:rFonts w:cs="Arial"/>
        </w:rPr>
        <w:t xml:space="preserve"> rapture</w:t>
      </w:r>
      <w:r w:rsidR="00E65653">
        <w:rPr>
          <w:rFonts w:cs="Arial"/>
        </w:rPr>
        <w:t xml:space="preserve"> of the church</w:t>
      </w:r>
      <w:r>
        <w:rPr>
          <w:rFonts w:cs="Arial"/>
        </w:rPr>
        <w:t xml:space="preserve">.  </w:t>
      </w:r>
      <w:r w:rsidR="00A31003">
        <w:rPr>
          <w:rFonts w:cs="Arial"/>
        </w:rPr>
        <w:t xml:space="preserve">The following chart </w:t>
      </w:r>
      <w:r w:rsidR="00E65653">
        <w:rPr>
          <w:rFonts w:cs="Arial"/>
        </w:rPr>
        <w:t>exhibits</w:t>
      </w:r>
      <w:r w:rsidR="00A31003">
        <w:rPr>
          <w:rFonts w:cs="Arial"/>
        </w:rPr>
        <w:t xml:space="preserve"> some of the elements of dispensational </w:t>
      </w:r>
      <w:proofErr w:type="spellStart"/>
      <w:r w:rsidR="00A31003">
        <w:rPr>
          <w:rFonts w:cs="Arial"/>
        </w:rPr>
        <w:t>premillennialism</w:t>
      </w:r>
      <w:proofErr w:type="spellEnd"/>
      <w:r w:rsidR="00A31003">
        <w:rPr>
          <w:rFonts w:cs="Arial"/>
        </w:rPr>
        <w:t>:</w:t>
      </w:r>
      <w:r w:rsidR="00E65653">
        <w:rPr>
          <w:rStyle w:val="FootnoteReference"/>
          <w:rFonts w:cs="Arial"/>
        </w:rPr>
        <w:footnoteReference w:id="38"/>
      </w:r>
    </w:p>
    <w:p w:rsidR="00A31003" w:rsidRDefault="00A31003" w:rsidP="00A31003">
      <w:pPr>
        <w:spacing w:line="480" w:lineRule="auto"/>
        <w:rPr>
          <w:rFonts w:cs="Arial"/>
        </w:rPr>
      </w:pPr>
      <w:r w:rsidRPr="00A31003">
        <w:rPr>
          <w:rFonts w:cs="Arial"/>
          <w:noProof/>
        </w:rPr>
        <w:lastRenderedPageBreak/>
        <w:drawing>
          <wp:inline distT="0" distB="0" distL="0" distR="0">
            <wp:extent cx="5943600" cy="2357120"/>
            <wp:effectExtent l="19050" t="0" r="0" b="0"/>
            <wp:docPr id="9" name="Picture 8"/>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4" cstate="print"/>
                    <a:srcRect/>
                    <a:stretch>
                      <a:fillRect/>
                    </a:stretch>
                  </pic:blipFill>
                  <pic:spPr bwMode="auto">
                    <a:xfrm>
                      <a:off x="0" y="0"/>
                      <a:ext cx="5943600" cy="2357120"/>
                    </a:xfrm>
                    <a:prstGeom prst="rect">
                      <a:avLst/>
                    </a:prstGeom>
                    <a:noFill/>
                    <a:ln w="9525">
                      <a:noFill/>
                      <a:miter lim="800000"/>
                      <a:headEnd/>
                      <a:tailEnd/>
                    </a:ln>
                  </pic:spPr>
                </pic:pic>
              </a:graphicData>
            </a:graphic>
          </wp:inline>
        </w:drawing>
      </w:r>
    </w:p>
    <w:p w:rsidR="00716CF1" w:rsidRPr="00D8188C" w:rsidRDefault="00716CF1" w:rsidP="00D8188C">
      <w:pPr>
        <w:spacing w:line="480" w:lineRule="auto"/>
        <w:ind w:firstLine="432"/>
        <w:rPr>
          <w:rFonts w:cs="Arial"/>
        </w:rPr>
      </w:pPr>
      <w:r>
        <w:rPr>
          <w:rFonts w:cs="Arial"/>
        </w:rPr>
        <w:t xml:space="preserve">Diversity exists within </w:t>
      </w:r>
      <w:proofErr w:type="spellStart"/>
      <w:r>
        <w:rPr>
          <w:rFonts w:cs="Arial"/>
        </w:rPr>
        <w:t>dispensationalism</w:t>
      </w:r>
      <w:proofErr w:type="spellEnd"/>
      <w:r>
        <w:rPr>
          <w:rFonts w:cs="Arial"/>
        </w:rPr>
        <w:t>.</w:t>
      </w:r>
      <w:r w:rsidR="001E37A1">
        <w:rPr>
          <w:rFonts w:cs="Arial"/>
        </w:rPr>
        <w:t xml:space="preserve">  The greatest differences lie between progres</w:t>
      </w:r>
      <w:r w:rsidR="00412C21">
        <w:rPr>
          <w:rFonts w:cs="Arial"/>
        </w:rPr>
        <w:t xml:space="preserve">sive dispensationalists and </w:t>
      </w:r>
      <w:r w:rsidR="00A54114">
        <w:rPr>
          <w:rFonts w:cs="Arial"/>
        </w:rPr>
        <w:t>classical and revised</w:t>
      </w:r>
      <w:r w:rsidR="001E37A1">
        <w:rPr>
          <w:rFonts w:cs="Arial"/>
        </w:rPr>
        <w:t xml:space="preserve"> dispensat</w:t>
      </w:r>
      <w:r w:rsidR="00BE3034">
        <w:rPr>
          <w:rFonts w:cs="Arial"/>
        </w:rPr>
        <w:t>ionalists.  P</w:t>
      </w:r>
      <w:r w:rsidR="001E37A1">
        <w:rPr>
          <w:rFonts w:cs="Arial"/>
        </w:rPr>
        <w:t>rogressives see an inaugurated form of the kingdom in the present age that involve</w:t>
      </w:r>
      <w:r w:rsidR="007504B1">
        <w:rPr>
          <w:rFonts w:cs="Arial"/>
        </w:rPr>
        <w:t>s</w:t>
      </w:r>
      <w:r w:rsidR="001E37A1">
        <w:rPr>
          <w:rFonts w:cs="Arial"/>
        </w:rPr>
        <w:t xml:space="preserve"> a partial fulfillment of the new covenant and the Davidic covenant.</w:t>
      </w:r>
      <w:r w:rsidR="007504B1">
        <w:rPr>
          <w:rFonts w:cs="Arial"/>
        </w:rPr>
        <w:t xml:space="preserve">  Progressiv</w:t>
      </w:r>
      <w:r w:rsidR="00EC56E8">
        <w:rPr>
          <w:rFonts w:cs="Arial"/>
        </w:rPr>
        <w:t xml:space="preserve">e dispensational </w:t>
      </w:r>
      <w:proofErr w:type="spellStart"/>
      <w:r w:rsidR="00EC56E8">
        <w:rPr>
          <w:rFonts w:cs="Arial"/>
        </w:rPr>
        <w:t>premillennialism</w:t>
      </w:r>
      <w:proofErr w:type="spellEnd"/>
      <w:r w:rsidR="007504B1">
        <w:rPr>
          <w:rFonts w:cs="Arial"/>
        </w:rPr>
        <w:t xml:space="preserve"> fits under the category of “already, not yet”.</w:t>
      </w:r>
      <w:r w:rsidR="00412C21">
        <w:rPr>
          <w:rFonts w:cs="Arial"/>
        </w:rPr>
        <w:t xml:space="preserve">  </w:t>
      </w:r>
      <w:r w:rsidR="00A54114">
        <w:rPr>
          <w:rFonts w:cs="Arial"/>
        </w:rPr>
        <w:t>Classical and revised</w:t>
      </w:r>
      <w:r w:rsidR="007504B1">
        <w:rPr>
          <w:rFonts w:cs="Arial"/>
        </w:rPr>
        <w:t xml:space="preserve"> dispensational </w:t>
      </w:r>
      <w:proofErr w:type="spellStart"/>
      <w:r w:rsidR="007504B1">
        <w:rPr>
          <w:rFonts w:cs="Arial"/>
        </w:rPr>
        <w:t>premillennialism</w:t>
      </w:r>
      <w:proofErr w:type="spellEnd"/>
      <w:r w:rsidR="007504B1">
        <w:rPr>
          <w:rFonts w:cs="Arial"/>
        </w:rPr>
        <w:t xml:space="preserve"> fit under the category of “not yet”.  For the</w:t>
      </w:r>
      <w:r w:rsidR="00BE3034">
        <w:rPr>
          <w:rFonts w:cs="Arial"/>
        </w:rPr>
        <w:t xml:space="preserve">se two types of dispensational </w:t>
      </w:r>
      <w:proofErr w:type="spellStart"/>
      <w:r w:rsidR="00BE3034">
        <w:rPr>
          <w:rFonts w:cs="Arial"/>
        </w:rPr>
        <w:t>premillennialism</w:t>
      </w:r>
      <w:proofErr w:type="spellEnd"/>
      <w:r w:rsidR="007504B1">
        <w:rPr>
          <w:rFonts w:cs="Arial"/>
        </w:rPr>
        <w:t xml:space="preserve"> the establishment of the Davidic messianic kingdom is completely </w:t>
      </w:r>
      <w:r w:rsidR="002B1AAD">
        <w:rPr>
          <w:rFonts w:cs="Arial"/>
        </w:rPr>
        <w:t>in the future after the Second Coming of Christ.</w:t>
      </w:r>
      <w:r w:rsidR="00657A6B">
        <w:rPr>
          <w:rFonts w:cs="Arial"/>
        </w:rPr>
        <w:t xml:space="preserve"> </w:t>
      </w:r>
      <w:r w:rsidR="007504B1">
        <w:rPr>
          <w:rFonts w:cs="Arial"/>
        </w:rPr>
        <w:t xml:space="preserve">There </w:t>
      </w:r>
      <w:r w:rsidR="00A54114">
        <w:rPr>
          <w:rFonts w:cs="Arial"/>
        </w:rPr>
        <w:t xml:space="preserve">are </w:t>
      </w:r>
      <w:r w:rsidR="002B1AAD">
        <w:rPr>
          <w:rFonts w:cs="Arial"/>
        </w:rPr>
        <w:t>differences among the</w:t>
      </w:r>
      <w:r w:rsidR="007504B1">
        <w:rPr>
          <w:rFonts w:cs="Arial"/>
        </w:rPr>
        <w:t xml:space="preserve"> </w:t>
      </w:r>
      <w:r w:rsidR="00A54114">
        <w:rPr>
          <w:rFonts w:cs="Arial"/>
        </w:rPr>
        <w:t>classical and revised dispensationalists</w:t>
      </w:r>
      <w:r w:rsidR="002B1AAD">
        <w:rPr>
          <w:rFonts w:cs="Arial"/>
        </w:rPr>
        <w:t xml:space="preserve">.  </w:t>
      </w:r>
      <w:r w:rsidR="00BE3034">
        <w:rPr>
          <w:rFonts w:cs="Arial"/>
        </w:rPr>
        <w:t xml:space="preserve">Craig </w:t>
      </w:r>
      <w:proofErr w:type="spellStart"/>
      <w:r w:rsidR="002B1AAD">
        <w:rPr>
          <w:rFonts w:cs="Arial"/>
        </w:rPr>
        <w:t>Blaising</w:t>
      </w:r>
      <w:proofErr w:type="spellEnd"/>
      <w:r w:rsidR="002B1AAD">
        <w:rPr>
          <w:rFonts w:cs="Arial"/>
        </w:rPr>
        <w:t xml:space="preserve"> </w:t>
      </w:r>
      <w:r w:rsidR="00D8188C">
        <w:rPr>
          <w:rFonts w:cs="Arial"/>
        </w:rPr>
        <w:t>sets forth</w:t>
      </w:r>
      <w:r w:rsidR="00712745">
        <w:rPr>
          <w:rFonts w:cs="Arial"/>
        </w:rPr>
        <w:t xml:space="preserve"> concise</w:t>
      </w:r>
      <w:r w:rsidR="002B1AAD">
        <w:rPr>
          <w:rFonts w:cs="Arial"/>
        </w:rPr>
        <w:t xml:space="preserve"> de</w:t>
      </w:r>
      <w:r w:rsidR="00D8188C">
        <w:rPr>
          <w:rFonts w:cs="Arial"/>
        </w:rPr>
        <w:t>scriptions of these two</w:t>
      </w:r>
      <w:r w:rsidR="00D41431">
        <w:rPr>
          <w:rFonts w:cs="Arial"/>
        </w:rPr>
        <w:t xml:space="preserve"> types and the</w:t>
      </w:r>
      <w:r w:rsidR="00D8188C">
        <w:rPr>
          <w:rFonts w:cs="Arial"/>
        </w:rPr>
        <w:t xml:space="preserve"> differen</w:t>
      </w:r>
      <w:r w:rsidR="0030149F">
        <w:rPr>
          <w:rFonts w:cs="Arial"/>
        </w:rPr>
        <w:t xml:space="preserve">ces </w:t>
      </w:r>
      <w:r w:rsidR="00D8188C">
        <w:rPr>
          <w:rFonts w:cs="Arial"/>
        </w:rPr>
        <w:t>within the types.</w:t>
      </w:r>
      <w:r w:rsidR="00D8188C">
        <w:rPr>
          <w:rStyle w:val="FootnoteReference"/>
          <w:rFonts w:cs="Arial"/>
        </w:rPr>
        <w:footnoteReference w:id="39"/>
      </w:r>
      <w:r w:rsidR="00D41431">
        <w:rPr>
          <w:rFonts w:cs="Arial"/>
        </w:rPr>
        <w:t xml:space="preserve">  </w:t>
      </w:r>
      <w:r w:rsidR="00712745">
        <w:rPr>
          <w:rFonts w:cs="Arial"/>
        </w:rPr>
        <w:t>We will focus on the</w:t>
      </w:r>
      <w:r w:rsidR="0073091A">
        <w:rPr>
          <w:rFonts w:cs="Arial"/>
        </w:rPr>
        <w:t>ir</w:t>
      </w:r>
      <w:r w:rsidR="00712745">
        <w:rPr>
          <w:rFonts w:cs="Arial"/>
        </w:rPr>
        <w:t xml:space="preserve"> slightly</w:t>
      </w:r>
      <w:r w:rsidR="00D41431">
        <w:rPr>
          <w:rFonts w:cs="Arial"/>
        </w:rPr>
        <w:t xml:space="preserve"> </w:t>
      </w:r>
      <w:r w:rsidR="0073091A">
        <w:rPr>
          <w:rFonts w:cs="Arial"/>
        </w:rPr>
        <w:t>differing kingdom views</w:t>
      </w:r>
    </w:p>
    <w:p w:rsidR="00F760EA" w:rsidRDefault="00F760EA" w:rsidP="00F760EA">
      <w:pPr>
        <w:pStyle w:val="ListParagraph"/>
        <w:numPr>
          <w:ilvl w:val="0"/>
          <w:numId w:val="6"/>
        </w:numPr>
        <w:spacing w:line="480" w:lineRule="auto"/>
        <w:ind w:left="360"/>
        <w:rPr>
          <w:rFonts w:cs="Arial"/>
          <w:i/>
        </w:rPr>
      </w:pPr>
      <w:r>
        <w:rPr>
          <w:rFonts w:cs="Arial"/>
          <w:i/>
        </w:rPr>
        <w:t>Revised</w:t>
      </w:r>
      <w:r w:rsidR="0051385A">
        <w:rPr>
          <w:rFonts w:cs="Arial"/>
          <w:i/>
        </w:rPr>
        <w:t xml:space="preserve"> (Modified, Normative)</w:t>
      </w:r>
      <w:r>
        <w:rPr>
          <w:rFonts w:cs="Arial"/>
          <w:i/>
        </w:rPr>
        <w:t xml:space="preserve"> Dispensational </w:t>
      </w:r>
      <w:proofErr w:type="spellStart"/>
      <w:r>
        <w:rPr>
          <w:rFonts w:cs="Arial"/>
          <w:i/>
        </w:rPr>
        <w:t>Premillennialism</w:t>
      </w:r>
      <w:proofErr w:type="spellEnd"/>
      <w:r w:rsidR="00751FA2">
        <w:rPr>
          <w:rFonts w:cs="Arial"/>
          <w:i/>
        </w:rPr>
        <w:t xml:space="preserve"> – Kingdom </w:t>
      </w:r>
      <w:r w:rsidR="00FD3F62">
        <w:rPr>
          <w:rFonts w:cs="Arial"/>
          <w:i/>
        </w:rPr>
        <w:t>Anticipation</w:t>
      </w:r>
    </w:p>
    <w:p w:rsidR="007368DC" w:rsidRPr="007368DC" w:rsidRDefault="007368DC" w:rsidP="007368DC">
      <w:pPr>
        <w:spacing w:line="480" w:lineRule="auto"/>
        <w:ind w:firstLine="432"/>
        <w:rPr>
          <w:rFonts w:cs="Arial"/>
        </w:rPr>
      </w:pPr>
      <w:proofErr w:type="spellStart"/>
      <w:r>
        <w:rPr>
          <w:rFonts w:cs="Arial"/>
        </w:rPr>
        <w:t>Blaising</w:t>
      </w:r>
      <w:proofErr w:type="spellEnd"/>
      <w:r>
        <w:rPr>
          <w:rFonts w:cs="Arial"/>
        </w:rPr>
        <w:t xml:space="preserve"> </w:t>
      </w:r>
      <w:r w:rsidR="00A43219">
        <w:rPr>
          <w:rFonts w:cs="Arial"/>
        </w:rPr>
        <w:t>takes the title</w:t>
      </w:r>
      <w:r>
        <w:rPr>
          <w:rFonts w:cs="Arial"/>
        </w:rPr>
        <w:t xml:space="preserve"> “revised</w:t>
      </w:r>
      <w:r w:rsidR="00A43219">
        <w:rPr>
          <w:rFonts w:cs="Arial"/>
        </w:rPr>
        <w:t xml:space="preserve"> </w:t>
      </w:r>
      <w:proofErr w:type="spellStart"/>
      <w:r w:rsidR="00800E47">
        <w:rPr>
          <w:rFonts w:cs="Arial"/>
        </w:rPr>
        <w:t>dispensationalis</w:t>
      </w:r>
      <w:r w:rsidR="00A43219">
        <w:rPr>
          <w:rFonts w:cs="Arial"/>
        </w:rPr>
        <w:t>m</w:t>
      </w:r>
      <w:proofErr w:type="spellEnd"/>
      <w:r w:rsidR="00A43219">
        <w:rPr>
          <w:rFonts w:cs="Arial"/>
        </w:rPr>
        <w:t xml:space="preserve">” from the revision of the </w:t>
      </w:r>
      <w:proofErr w:type="spellStart"/>
      <w:r w:rsidR="00A43219">
        <w:rPr>
          <w:rFonts w:cs="Arial"/>
        </w:rPr>
        <w:t>Scofield</w:t>
      </w:r>
      <w:proofErr w:type="spellEnd"/>
      <w:r w:rsidR="00A43219">
        <w:rPr>
          <w:rFonts w:cs="Arial"/>
        </w:rPr>
        <w:t xml:space="preserve"> Reference Bible of 1967.</w:t>
      </w:r>
      <w:r w:rsidR="00A43219">
        <w:rPr>
          <w:rStyle w:val="FootnoteReference"/>
          <w:rFonts w:cs="Arial"/>
        </w:rPr>
        <w:footnoteReference w:id="40"/>
      </w:r>
      <w:r w:rsidR="00A43219">
        <w:rPr>
          <w:rFonts w:cs="Arial"/>
        </w:rPr>
        <w:t xml:space="preserve">  Revised </w:t>
      </w:r>
      <w:proofErr w:type="spellStart"/>
      <w:r w:rsidR="00A43219">
        <w:rPr>
          <w:rFonts w:cs="Arial"/>
        </w:rPr>
        <w:t>dispensationalism</w:t>
      </w:r>
      <w:proofErr w:type="spellEnd"/>
      <w:r w:rsidR="00A43219">
        <w:rPr>
          <w:rFonts w:cs="Arial"/>
        </w:rPr>
        <w:t xml:space="preserve"> is a modification of classical </w:t>
      </w:r>
      <w:proofErr w:type="spellStart"/>
      <w:r w:rsidR="00A43219">
        <w:rPr>
          <w:rFonts w:cs="Arial"/>
        </w:rPr>
        <w:t>dispensationalism</w:t>
      </w:r>
      <w:proofErr w:type="spellEnd"/>
      <w:r w:rsidR="00A43219">
        <w:rPr>
          <w:rFonts w:cs="Arial"/>
        </w:rPr>
        <w:t xml:space="preserve"> introduced by the dispensationalists of the 1950s and ‘60s.</w:t>
      </w:r>
      <w:r w:rsidR="00800E47">
        <w:rPr>
          <w:rFonts w:cs="Arial"/>
        </w:rPr>
        <w:t xml:space="preserve">   </w:t>
      </w:r>
      <w:r w:rsidR="004C071B">
        <w:rPr>
          <w:rFonts w:cs="Arial"/>
        </w:rPr>
        <w:t xml:space="preserve">Perhaps </w:t>
      </w:r>
      <w:r w:rsidR="00800E47">
        <w:rPr>
          <w:rFonts w:cs="Arial"/>
        </w:rPr>
        <w:t xml:space="preserve">the most </w:t>
      </w:r>
      <w:r w:rsidR="00800E47">
        <w:rPr>
          <w:rFonts w:cs="Arial"/>
        </w:rPr>
        <w:lastRenderedPageBreak/>
        <w:t>important revision</w:t>
      </w:r>
      <w:r w:rsidR="0073091A">
        <w:rPr>
          <w:rFonts w:cs="Arial"/>
        </w:rPr>
        <w:t xml:space="preserve">, says </w:t>
      </w:r>
      <w:proofErr w:type="spellStart"/>
      <w:r w:rsidR="0073091A">
        <w:rPr>
          <w:rFonts w:cs="Arial"/>
        </w:rPr>
        <w:t>Blaising</w:t>
      </w:r>
      <w:proofErr w:type="spellEnd"/>
      <w:r w:rsidR="0073091A">
        <w:rPr>
          <w:rFonts w:cs="Arial"/>
        </w:rPr>
        <w:t>,</w:t>
      </w:r>
      <w:r w:rsidR="00800E47">
        <w:rPr>
          <w:rFonts w:cs="Arial"/>
        </w:rPr>
        <w:t xml:space="preserve"> was the abandonment of the eternal dualism of heavenly and earthly peoples.</w:t>
      </w:r>
      <w:r w:rsidR="00800E47">
        <w:rPr>
          <w:rStyle w:val="FootnoteReference"/>
          <w:rFonts w:cs="Arial"/>
        </w:rPr>
        <w:footnoteReference w:id="41"/>
      </w:r>
      <w:r w:rsidR="00AB0D16">
        <w:rPr>
          <w:rFonts w:cs="Arial"/>
        </w:rPr>
        <w:t xml:space="preserve"> </w:t>
      </w:r>
    </w:p>
    <w:p w:rsidR="00F760EA" w:rsidRDefault="00F760EA" w:rsidP="00F760EA">
      <w:pPr>
        <w:pStyle w:val="ListParagraph"/>
        <w:numPr>
          <w:ilvl w:val="0"/>
          <w:numId w:val="7"/>
        </w:numPr>
        <w:spacing w:line="480" w:lineRule="auto"/>
        <w:rPr>
          <w:rFonts w:cs="Arial"/>
          <w:i/>
        </w:rPr>
      </w:pPr>
      <w:r>
        <w:rPr>
          <w:rFonts w:cs="Arial"/>
          <w:i/>
        </w:rPr>
        <w:t>Pentecost</w:t>
      </w:r>
    </w:p>
    <w:p w:rsidR="0030149F" w:rsidRDefault="0030149F" w:rsidP="0030149F">
      <w:pPr>
        <w:spacing w:line="480" w:lineRule="auto"/>
        <w:ind w:firstLine="432"/>
        <w:rPr>
          <w:rFonts w:cs="Arial"/>
        </w:rPr>
      </w:pPr>
      <w:r>
        <w:rPr>
          <w:rFonts w:cs="Arial"/>
        </w:rPr>
        <w:t xml:space="preserve">J. Dwight Pentecost uses the term </w:t>
      </w:r>
      <w:r w:rsidR="00844D8D">
        <w:rPr>
          <w:rFonts w:cs="Arial"/>
        </w:rPr>
        <w:t>“</w:t>
      </w:r>
      <w:r>
        <w:rPr>
          <w:rFonts w:cs="Arial"/>
        </w:rPr>
        <w:t>eternal kingdom</w:t>
      </w:r>
      <w:r w:rsidR="00844D8D">
        <w:rPr>
          <w:rFonts w:cs="Arial"/>
        </w:rPr>
        <w:t>”</w:t>
      </w:r>
      <w:r>
        <w:rPr>
          <w:rFonts w:cs="Arial"/>
        </w:rPr>
        <w:t xml:space="preserve"> to refer to God’s ru</w:t>
      </w:r>
      <w:r w:rsidR="00844D8D">
        <w:rPr>
          <w:rFonts w:cs="Arial"/>
        </w:rPr>
        <w:t>le over all He has made and the term “theocratic kingdom” to refer to His mediated rule on earth.</w:t>
      </w:r>
      <w:r w:rsidR="00844D8D">
        <w:rPr>
          <w:rStyle w:val="FootnoteReference"/>
          <w:rFonts w:cs="Arial"/>
        </w:rPr>
        <w:footnoteReference w:id="42"/>
      </w:r>
      <w:r w:rsidR="00844D8D">
        <w:rPr>
          <w:rFonts w:cs="Arial"/>
        </w:rPr>
        <w:t xml:space="preserve"> The </w:t>
      </w:r>
      <w:r w:rsidR="00AB164D">
        <w:rPr>
          <w:rFonts w:cs="Arial"/>
        </w:rPr>
        <w:t>theocratic</w:t>
      </w:r>
      <w:r w:rsidR="00844D8D">
        <w:rPr>
          <w:rFonts w:cs="Arial"/>
        </w:rPr>
        <w:t xml:space="preserve"> </w:t>
      </w:r>
      <w:r w:rsidR="00AB164D">
        <w:rPr>
          <w:rFonts w:cs="Arial"/>
        </w:rPr>
        <w:t xml:space="preserve">mediated </w:t>
      </w:r>
      <w:r w:rsidR="00844D8D">
        <w:rPr>
          <w:rFonts w:cs="Arial"/>
        </w:rPr>
        <w:t xml:space="preserve">kingdom </w:t>
      </w:r>
      <w:r w:rsidR="00AB164D">
        <w:rPr>
          <w:rFonts w:cs="Arial"/>
        </w:rPr>
        <w:t>unfolds in ten successive stages from Creation to the Millennium.  The church is an aspect of the present theocratic kingdom.  The Davidic/Messianic kingdom comprises the future theocratic kingdom</w:t>
      </w:r>
      <w:r w:rsidR="004A3E54">
        <w:rPr>
          <w:rFonts w:cs="Arial"/>
        </w:rPr>
        <w:t xml:space="preserve"> established at</w:t>
      </w:r>
      <w:r w:rsidR="00AB164D">
        <w:rPr>
          <w:rFonts w:cs="Arial"/>
        </w:rPr>
        <w:t xml:space="preserve"> the Second Coming of Christ.  The kingdom continues in an earthly form in the eternal state.</w:t>
      </w:r>
      <w:r w:rsidR="00FE62A8">
        <w:rPr>
          <w:rFonts w:cs="Arial"/>
        </w:rPr>
        <w:t xml:space="preserve">  </w:t>
      </w:r>
      <w:proofErr w:type="spellStart"/>
      <w:r w:rsidR="00FE62A8">
        <w:rPr>
          <w:rFonts w:cs="Arial"/>
        </w:rPr>
        <w:t>Blaising</w:t>
      </w:r>
      <w:proofErr w:type="spellEnd"/>
      <w:r w:rsidR="00FE62A8">
        <w:rPr>
          <w:rFonts w:cs="Arial"/>
        </w:rPr>
        <w:t xml:space="preserve"> portrays in a chart the kingdom view of Pentecost:</w:t>
      </w:r>
      <w:r w:rsidR="00FE62A8">
        <w:rPr>
          <w:rStyle w:val="FootnoteReference"/>
          <w:rFonts w:cs="Arial"/>
        </w:rPr>
        <w:footnoteReference w:id="43"/>
      </w:r>
    </w:p>
    <w:p w:rsidR="00A3418B" w:rsidRPr="00657A6B" w:rsidRDefault="00FE62A8" w:rsidP="00657A6B">
      <w:pPr>
        <w:spacing w:line="480" w:lineRule="auto"/>
        <w:jc w:val="center"/>
        <w:rPr>
          <w:rFonts w:cs="Arial"/>
        </w:rPr>
      </w:pPr>
      <w:r w:rsidRPr="00FE62A8">
        <w:rPr>
          <w:rFonts w:cs="Arial"/>
          <w:noProof/>
        </w:rPr>
        <w:drawing>
          <wp:inline distT="0" distB="0" distL="0" distR="0">
            <wp:extent cx="5981700" cy="2276475"/>
            <wp:effectExtent l="19050" t="0" r="0" b="0"/>
            <wp:docPr id="10" name="Picture 9"/>
            <wp:cNvGraphicFramePr/>
            <a:graphic xmlns:a="http://schemas.openxmlformats.org/drawingml/2006/main">
              <a:graphicData uri="http://schemas.openxmlformats.org/drawingml/2006/picture">
                <pic:pic xmlns:pic="http://schemas.openxmlformats.org/drawingml/2006/picture">
                  <pic:nvPicPr>
                    <pic:cNvPr id="39938" name="Picture 2"/>
                    <pic:cNvPicPr>
                      <a:picLocks noChangeAspect="1" noChangeArrowheads="1"/>
                    </pic:cNvPicPr>
                  </pic:nvPicPr>
                  <pic:blipFill>
                    <a:blip r:embed="rId15" cstate="print">
                      <a:lum bright="-20000" contrast="40000"/>
                    </a:blip>
                    <a:srcRect b="6278"/>
                    <a:stretch>
                      <a:fillRect/>
                    </a:stretch>
                  </pic:blipFill>
                  <pic:spPr bwMode="auto">
                    <a:xfrm>
                      <a:off x="0" y="0"/>
                      <a:ext cx="5981700" cy="2276475"/>
                    </a:xfrm>
                    <a:prstGeom prst="rect">
                      <a:avLst/>
                    </a:prstGeom>
                    <a:noFill/>
                    <a:ln w="9525">
                      <a:noFill/>
                      <a:miter lim="800000"/>
                      <a:headEnd/>
                      <a:tailEnd/>
                    </a:ln>
                  </pic:spPr>
                </pic:pic>
              </a:graphicData>
            </a:graphic>
          </wp:inline>
        </w:drawing>
      </w:r>
    </w:p>
    <w:p w:rsidR="00F760EA" w:rsidRDefault="00F760EA" w:rsidP="00F760EA">
      <w:pPr>
        <w:pStyle w:val="ListParagraph"/>
        <w:numPr>
          <w:ilvl w:val="0"/>
          <w:numId w:val="7"/>
        </w:numPr>
        <w:spacing w:line="480" w:lineRule="auto"/>
        <w:rPr>
          <w:rFonts w:cs="Arial"/>
          <w:i/>
        </w:rPr>
      </w:pPr>
      <w:r>
        <w:rPr>
          <w:rFonts w:cs="Arial"/>
          <w:i/>
        </w:rPr>
        <w:t>Ryrie</w:t>
      </w:r>
    </w:p>
    <w:p w:rsidR="00FE62A8" w:rsidRDefault="004C2137" w:rsidP="00FE62A8">
      <w:pPr>
        <w:spacing w:line="480" w:lineRule="auto"/>
        <w:ind w:firstLine="432"/>
        <w:rPr>
          <w:rFonts w:cs="Arial"/>
        </w:rPr>
      </w:pPr>
      <w:r>
        <w:rPr>
          <w:rFonts w:cs="Arial"/>
        </w:rPr>
        <w:t>Charles Ryrie employs the term “universal kingdom” for God’s rule over all things.</w:t>
      </w:r>
      <w:r w:rsidR="005D78F6">
        <w:rPr>
          <w:rStyle w:val="FootnoteReference"/>
          <w:rFonts w:cs="Arial"/>
        </w:rPr>
        <w:footnoteReference w:id="44"/>
      </w:r>
      <w:r>
        <w:rPr>
          <w:rFonts w:cs="Arial"/>
        </w:rPr>
        <w:t xml:space="preserve">  The Davidic kingdom appeared in the old dispensation and has been in abeyance since the Exile.  Jesus began a threefold kingdom program: first, Jesus offered the kingdom </w:t>
      </w:r>
      <w:r w:rsidR="0086284C">
        <w:rPr>
          <w:rFonts w:cs="Arial"/>
        </w:rPr>
        <w:t>to Israel b</w:t>
      </w:r>
      <w:r w:rsidR="00AB720B">
        <w:rPr>
          <w:rFonts w:cs="Arial"/>
        </w:rPr>
        <w:t xml:space="preserve">ut was </w:t>
      </w:r>
      <w:r w:rsidR="00AB720B">
        <w:rPr>
          <w:rFonts w:cs="Arial"/>
        </w:rPr>
        <w:lastRenderedPageBreak/>
        <w:t xml:space="preserve">rejected; </w:t>
      </w:r>
      <w:r w:rsidR="00447BC8">
        <w:rPr>
          <w:rFonts w:cs="Arial"/>
        </w:rPr>
        <w:t>next is the</w:t>
      </w:r>
      <w:r w:rsidR="00AB720B">
        <w:rPr>
          <w:rFonts w:cs="Arial"/>
        </w:rPr>
        <w:t xml:space="preserve"> mystery form of t</w:t>
      </w:r>
      <w:r w:rsidR="00447BC8">
        <w:rPr>
          <w:rFonts w:cs="Arial"/>
        </w:rPr>
        <w:t>he kingdom which is Christendom; next is the Davidic millennial kingdom</w:t>
      </w:r>
      <w:r w:rsidR="00CA32AD">
        <w:rPr>
          <w:rFonts w:cs="Arial"/>
        </w:rPr>
        <w:t xml:space="preserve"> to be followed by eternity under the universal kingdom of God</w:t>
      </w:r>
      <w:r w:rsidR="00447BC8">
        <w:rPr>
          <w:rFonts w:cs="Arial"/>
        </w:rPr>
        <w:t>.  There is also a present</w:t>
      </w:r>
      <w:r w:rsidR="00AB720B">
        <w:rPr>
          <w:rFonts w:cs="Arial"/>
        </w:rPr>
        <w:t xml:space="preserve"> </w:t>
      </w:r>
      <w:r>
        <w:rPr>
          <w:rFonts w:cs="Arial"/>
        </w:rPr>
        <w:t>“spiritual kingdom”</w:t>
      </w:r>
      <w:r w:rsidR="00447BC8">
        <w:rPr>
          <w:rFonts w:cs="Arial"/>
        </w:rPr>
        <w:t xml:space="preserve"> of</w:t>
      </w:r>
      <w:r>
        <w:rPr>
          <w:rFonts w:cs="Arial"/>
        </w:rPr>
        <w:t xml:space="preserve"> Christ’</w:t>
      </w:r>
      <w:r w:rsidR="00447BC8">
        <w:rPr>
          <w:rFonts w:cs="Arial"/>
        </w:rPr>
        <w:t>s rule over believers today.</w:t>
      </w:r>
      <w:r w:rsidR="005D78F6">
        <w:rPr>
          <w:rFonts w:cs="Arial"/>
        </w:rPr>
        <w:t xml:space="preserve">  </w:t>
      </w:r>
      <w:proofErr w:type="spellStart"/>
      <w:r w:rsidR="005D78F6">
        <w:rPr>
          <w:rFonts w:cs="Arial"/>
        </w:rPr>
        <w:t>Blaising</w:t>
      </w:r>
      <w:proofErr w:type="spellEnd"/>
      <w:r w:rsidR="005D78F6">
        <w:rPr>
          <w:rFonts w:cs="Arial"/>
        </w:rPr>
        <w:t xml:space="preserve"> portrays in a chart the kingdom view of Ryrie:</w:t>
      </w:r>
      <w:r w:rsidR="005D78F6">
        <w:rPr>
          <w:rStyle w:val="FootnoteReference"/>
          <w:rFonts w:cs="Arial"/>
        </w:rPr>
        <w:footnoteReference w:id="45"/>
      </w:r>
    </w:p>
    <w:p w:rsidR="005E79F7" w:rsidRDefault="005D78F6" w:rsidP="005E79F7">
      <w:pPr>
        <w:spacing w:line="480" w:lineRule="auto"/>
        <w:rPr>
          <w:rFonts w:cs="Arial"/>
        </w:rPr>
      </w:pPr>
      <w:r w:rsidRPr="005D78F6">
        <w:rPr>
          <w:rFonts w:cs="Arial"/>
          <w:noProof/>
        </w:rPr>
        <w:drawing>
          <wp:inline distT="0" distB="0" distL="0" distR="0">
            <wp:extent cx="5943600" cy="1905000"/>
            <wp:effectExtent l="19050" t="0" r="0" b="0"/>
            <wp:docPr id="11" name="Picture 10"/>
            <wp:cNvGraphicFramePr/>
            <a:graphic xmlns:a="http://schemas.openxmlformats.org/drawingml/2006/main">
              <a:graphicData uri="http://schemas.openxmlformats.org/drawingml/2006/picture">
                <pic:pic xmlns:pic="http://schemas.openxmlformats.org/drawingml/2006/picture">
                  <pic:nvPicPr>
                    <pic:cNvPr id="37890" name="Picture 2"/>
                    <pic:cNvPicPr>
                      <a:picLocks noChangeAspect="1" noChangeArrowheads="1"/>
                    </pic:cNvPicPr>
                  </pic:nvPicPr>
                  <pic:blipFill>
                    <a:blip r:embed="rId16" cstate="print">
                      <a:lum bright="-20000" contrast="40000"/>
                    </a:blip>
                    <a:srcRect b="3382"/>
                    <a:stretch>
                      <a:fillRect/>
                    </a:stretch>
                  </pic:blipFill>
                  <pic:spPr bwMode="auto">
                    <a:xfrm>
                      <a:off x="0" y="0"/>
                      <a:ext cx="5943600" cy="1905000"/>
                    </a:xfrm>
                    <a:prstGeom prst="rect">
                      <a:avLst/>
                    </a:prstGeom>
                    <a:noFill/>
                    <a:ln w="9525">
                      <a:noFill/>
                      <a:miter lim="800000"/>
                      <a:headEnd/>
                      <a:tailEnd/>
                    </a:ln>
                  </pic:spPr>
                </pic:pic>
              </a:graphicData>
            </a:graphic>
          </wp:inline>
        </w:drawing>
      </w:r>
    </w:p>
    <w:p w:rsidR="005E79F7" w:rsidRPr="005E79F7" w:rsidRDefault="005E79F7" w:rsidP="005E79F7">
      <w:pPr>
        <w:spacing w:line="480" w:lineRule="auto"/>
        <w:ind w:firstLine="432"/>
        <w:rPr>
          <w:rFonts w:cs="Arial"/>
        </w:rPr>
      </w:pPr>
      <w:r>
        <w:rPr>
          <w:rFonts w:cs="Arial"/>
        </w:rPr>
        <w:t xml:space="preserve">Ryrie </w:t>
      </w:r>
      <w:r w:rsidR="006F08A6">
        <w:rPr>
          <w:rFonts w:cs="Arial"/>
        </w:rPr>
        <w:t>addresses the issue of the Christian and social responsibility.</w:t>
      </w:r>
      <w:r w:rsidR="006F08A6">
        <w:rPr>
          <w:rStyle w:val="FootnoteReference"/>
          <w:rFonts w:cs="Arial"/>
        </w:rPr>
        <w:footnoteReference w:id="46"/>
      </w:r>
      <w:r w:rsidR="006F08A6">
        <w:rPr>
          <w:rFonts w:cs="Arial"/>
        </w:rPr>
        <w:t xml:space="preserve"> He finds no evidence in the Scriptures that the church is called to solve the social ills of the world.  Christians are to proclaim the gospel and do good works but are not under a mandate of social action.  He argues that the social agenda of many evangelicals does not have a basis in the New Testament.</w:t>
      </w:r>
    </w:p>
    <w:p w:rsidR="00F760EA" w:rsidRDefault="00F760EA" w:rsidP="00F760EA">
      <w:pPr>
        <w:pStyle w:val="ListParagraph"/>
        <w:numPr>
          <w:ilvl w:val="0"/>
          <w:numId w:val="7"/>
        </w:numPr>
        <w:spacing w:line="480" w:lineRule="auto"/>
        <w:rPr>
          <w:rFonts w:cs="Arial"/>
          <w:i/>
        </w:rPr>
      </w:pPr>
      <w:proofErr w:type="spellStart"/>
      <w:r>
        <w:rPr>
          <w:rFonts w:cs="Arial"/>
          <w:i/>
        </w:rPr>
        <w:t>Walvoord</w:t>
      </w:r>
      <w:proofErr w:type="spellEnd"/>
    </w:p>
    <w:p w:rsidR="008909FE" w:rsidRDefault="008909FE" w:rsidP="00202898">
      <w:pPr>
        <w:spacing w:line="480" w:lineRule="auto"/>
        <w:ind w:firstLine="432"/>
        <w:rPr>
          <w:rFonts w:cs="Arial"/>
        </w:rPr>
      </w:pPr>
      <w:r>
        <w:rPr>
          <w:rFonts w:cs="Arial"/>
        </w:rPr>
        <w:t xml:space="preserve">John </w:t>
      </w:r>
      <w:proofErr w:type="spellStart"/>
      <w:r>
        <w:rPr>
          <w:rFonts w:cs="Arial"/>
        </w:rPr>
        <w:t>Walvoord</w:t>
      </w:r>
      <w:proofErr w:type="spellEnd"/>
      <w:r>
        <w:rPr>
          <w:rFonts w:cs="Arial"/>
        </w:rPr>
        <w:t xml:space="preserve"> uses the terms “universal kingdom” for God’s rule over all He has made and “spiritual kingdom” for God’s rule over the saved in all ages.</w:t>
      </w:r>
      <w:r w:rsidR="00B85D4E">
        <w:rPr>
          <w:rStyle w:val="FootnoteReference"/>
          <w:rFonts w:cs="Arial"/>
        </w:rPr>
        <w:footnoteReference w:id="47"/>
      </w:r>
      <w:r>
        <w:rPr>
          <w:rFonts w:cs="Arial"/>
        </w:rPr>
        <w:t xml:space="preserve">  The Davidic kingdom was God’s theocratic rule through David</w:t>
      </w:r>
      <w:r w:rsidR="00202898">
        <w:rPr>
          <w:rFonts w:cs="Arial"/>
        </w:rPr>
        <w:t xml:space="preserve"> and a Davidic descendant.  Jesus offered the Davidic kingdom to Israel but it was postponed when they rejected Him.  The Davidic kingdom will be realized in Christ’s millennial reign on earth.  There is a present mystery form of the kingdom which is the spiritual rule of Christ in the church.  At the close of the millennium the Davidic kingdom will </w:t>
      </w:r>
      <w:r w:rsidR="00202898">
        <w:rPr>
          <w:rFonts w:cs="Arial"/>
        </w:rPr>
        <w:lastRenderedPageBreak/>
        <w:t xml:space="preserve">come to an end and the universal and spiritual kingdoms will be united forever.  </w:t>
      </w:r>
      <w:proofErr w:type="spellStart"/>
      <w:r w:rsidR="00202898">
        <w:rPr>
          <w:rFonts w:cs="Arial"/>
        </w:rPr>
        <w:t>Blaising</w:t>
      </w:r>
      <w:proofErr w:type="spellEnd"/>
      <w:r w:rsidR="00202898">
        <w:rPr>
          <w:rFonts w:cs="Arial"/>
        </w:rPr>
        <w:t xml:space="preserve"> portrays </w:t>
      </w:r>
      <w:proofErr w:type="spellStart"/>
      <w:r w:rsidR="00202898">
        <w:rPr>
          <w:rFonts w:cs="Arial"/>
        </w:rPr>
        <w:t>Walvoord’s</w:t>
      </w:r>
      <w:proofErr w:type="spellEnd"/>
      <w:r w:rsidR="00202898">
        <w:rPr>
          <w:rFonts w:cs="Arial"/>
        </w:rPr>
        <w:t xml:space="preserve"> view in the following chart:</w:t>
      </w:r>
      <w:r w:rsidR="00202898">
        <w:rPr>
          <w:rStyle w:val="FootnoteReference"/>
          <w:rFonts w:cs="Arial"/>
        </w:rPr>
        <w:footnoteReference w:id="48"/>
      </w:r>
    </w:p>
    <w:p w:rsidR="00202898" w:rsidRPr="008909FE" w:rsidRDefault="00FB5880" w:rsidP="00202898">
      <w:pPr>
        <w:spacing w:line="480" w:lineRule="auto"/>
        <w:rPr>
          <w:rFonts w:cs="Arial"/>
        </w:rPr>
      </w:pPr>
      <w:r w:rsidRPr="00FB5880">
        <w:rPr>
          <w:rFonts w:cs="Arial"/>
          <w:noProof/>
        </w:rPr>
        <w:drawing>
          <wp:inline distT="0" distB="0" distL="0" distR="0">
            <wp:extent cx="5334000" cy="2762250"/>
            <wp:effectExtent l="19050" t="0" r="0" b="0"/>
            <wp:docPr id="16" name="Picture 4" descr="C:\Users\Philippe\Documents\My Received Files\walvoord_files\ZM8zIwnqaexYMXWf6x9o.png"/>
            <wp:cNvGraphicFramePr/>
            <a:graphic xmlns:a="http://schemas.openxmlformats.org/drawingml/2006/main">
              <a:graphicData uri="http://schemas.openxmlformats.org/drawingml/2006/picture">
                <pic:pic xmlns:pic="http://schemas.openxmlformats.org/drawingml/2006/picture">
                  <pic:nvPicPr>
                    <pic:cNvPr id="2" name="Picture 1" descr="C:\Users\Philippe\Documents\My Received Files\walvoord_files\ZM8zIwnqaexYMXWf6x9o.png"/>
                    <pic:cNvPicPr/>
                  </pic:nvPicPr>
                  <pic:blipFill>
                    <a:blip r:embed="rId17" cstate="print">
                      <a:lum bright="-20000" contrast="40000"/>
                    </a:blip>
                    <a:srcRect t="18530" b="47604"/>
                    <a:stretch>
                      <a:fillRect/>
                    </a:stretch>
                  </pic:blipFill>
                  <pic:spPr bwMode="auto">
                    <a:xfrm>
                      <a:off x="0" y="0"/>
                      <a:ext cx="5334000" cy="2762250"/>
                    </a:xfrm>
                    <a:prstGeom prst="rect">
                      <a:avLst/>
                    </a:prstGeom>
                    <a:noFill/>
                    <a:ln w="9525">
                      <a:noFill/>
                      <a:miter lim="800000"/>
                      <a:headEnd/>
                      <a:tailEnd/>
                    </a:ln>
                  </pic:spPr>
                </pic:pic>
              </a:graphicData>
            </a:graphic>
          </wp:inline>
        </w:drawing>
      </w:r>
    </w:p>
    <w:p w:rsidR="00F760EA" w:rsidRDefault="00F760EA" w:rsidP="00F760EA">
      <w:pPr>
        <w:pStyle w:val="ListParagraph"/>
        <w:numPr>
          <w:ilvl w:val="0"/>
          <w:numId w:val="7"/>
        </w:numPr>
        <w:spacing w:line="480" w:lineRule="auto"/>
        <w:rPr>
          <w:rFonts w:cs="Arial"/>
          <w:i/>
        </w:rPr>
      </w:pPr>
      <w:r>
        <w:rPr>
          <w:rFonts w:cs="Arial"/>
          <w:i/>
        </w:rPr>
        <w:t>McClain/Toussaint</w:t>
      </w:r>
    </w:p>
    <w:p w:rsidR="00EF5425" w:rsidRDefault="00EF5425" w:rsidP="00EF5425">
      <w:pPr>
        <w:spacing w:line="480" w:lineRule="auto"/>
        <w:ind w:firstLine="432"/>
        <w:rPr>
          <w:rFonts w:cs="Arial"/>
        </w:rPr>
      </w:pPr>
      <w:r>
        <w:rPr>
          <w:rFonts w:cs="Arial"/>
        </w:rPr>
        <w:t>Alva J. McClain introduced the terms “universal kingdom” and “</w:t>
      </w:r>
      <w:proofErr w:type="spellStart"/>
      <w:r>
        <w:rPr>
          <w:rFonts w:cs="Arial"/>
        </w:rPr>
        <w:t>mediatorial</w:t>
      </w:r>
      <w:proofErr w:type="spellEnd"/>
      <w:r>
        <w:rPr>
          <w:rFonts w:cs="Arial"/>
        </w:rPr>
        <w:t xml:space="preserve"> kingdom”.</w:t>
      </w:r>
      <w:r>
        <w:rPr>
          <w:rStyle w:val="FootnoteReference"/>
          <w:rFonts w:cs="Arial"/>
        </w:rPr>
        <w:footnoteReference w:id="49"/>
      </w:r>
      <w:r>
        <w:rPr>
          <w:rFonts w:cs="Arial"/>
        </w:rPr>
        <w:t xml:space="preserve">  The universal kingdom is God’s rule over all things</w:t>
      </w:r>
      <w:r w:rsidR="002D66A5">
        <w:rPr>
          <w:rFonts w:cs="Arial"/>
        </w:rPr>
        <w:t xml:space="preserve">.  The </w:t>
      </w:r>
      <w:proofErr w:type="spellStart"/>
      <w:r w:rsidR="002D66A5">
        <w:rPr>
          <w:rFonts w:cs="Arial"/>
        </w:rPr>
        <w:t>mediatorial</w:t>
      </w:r>
      <w:proofErr w:type="spellEnd"/>
      <w:r w:rsidR="002D66A5">
        <w:rPr>
          <w:rFonts w:cs="Arial"/>
        </w:rPr>
        <w:t xml:space="preserve"> kingdom is God’s rule over the earth through a divinely chosen mediat</w:t>
      </w:r>
      <w:r w:rsidR="00DE25BB">
        <w:rPr>
          <w:rFonts w:cs="Arial"/>
        </w:rPr>
        <w:t xml:space="preserve">or.  A succession of mediators began with Abraham and continued on through the kings of Israel.  Jesus is the Davidic heir and the mediator of the messianic kingdom.  Since Jesus is not now on the earth there is no present </w:t>
      </w:r>
      <w:proofErr w:type="spellStart"/>
      <w:r w:rsidR="00DE25BB">
        <w:rPr>
          <w:rFonts w:cs="Arial"/>
        </w:rPr>
        <w:t>mediatorial</w:t>
      </w:r>
      <w:proofErr w:type="spellEnd"/>
      <w:r w:rsidR="00DE25BB">
        <w:rPr>
          <w:rFonts w:cs="Arial"/>
        </w:rPr>
        <w:t xml:space="preserve"> kingdom.  The present age is an “Interregnum”, a period between the reigns.  Jesus will establish the </w:t>
      </w:r>
      <w:proofErr w:type="spellStart"/>
      <w:r w:rsidR="00DE25BB">
        <w:rPr>
          <w:rFonts w:cs="Arial"/>
        </w:rPr>
        <w:t>mediatorial</w:t>
      </w:r>
      <w:proofErr w:type="spellEnd"/>
      <w:r w:rsidR="00DE25BB">
        <w:rPr>
          <w:rFonts w:cs="Arial"/>
        </w:rPr>
        <w:t xml:space="preserve"> kingdom again on earth at the Second Coming.  The </w:t>
      </w:r>
      <w:proofErr w:type="spellStart"/>
      <w:r w:rsidR="00DE25BB">
        <w:rPr>
          <w:rFonts w:cs="Arial"/>
        </w:rPr>
        <w:t>mediatorial</w:t>
      </w:r>
      <w:proofErr w:type="spellEnd"/>
      <w:r w:rsidR="00DE25BB">
        <w:rPr>
          <w:rFonts w:cs="Arial"/>
        </w:rPr>
        <w:t xml:space="preserve"> kingdom will merge with the universal kingdom at the close of the Millennium.  </w:t>
      </w:r>
      <w:proofErr w:type="spellStart"/>
      <w:r w:rsidR="00DE25BB">
        <w:rPr>
          <w:rFonts w:cs="Arial"/>
        </w:rPr>
        <w:t>Blaising</w:t>
      </w:r>
      <w:proofErr w:type="spellEnd"/>
      <w:r w:rsidR="00DE25BB">
        <w:rPr>
          <w:rFonts w:cs="Arial"/>
        </w:rPr>
        <w:t xml:space="preserve"> portrays McClain’s view in the following chart:</w:t>
      </w:r>
      <w:r w:rsidR="00DE25BB">
        <w:rPr>
          <w:rStyle w:val="FootnoteReference"/>
          <w:rFonts w:cs="Arial"/>
        </w:rPr>
        <w:footnoteReference w:id="50"/>
      </w:r>
    </w:p>
    <w:p w:rsidR="00DE25BB" w:rsidRDefault="00FB5880" w:rsidP="00815E4A">
      <w:pPr>
        <w:spacing w:line="480" w:lineRule="auto"/>
        <w:rPr>
          <w:rFonts w:cs="Arial"/>
        </w:rPr>
      </w:pPr>
      <w:r w:rsidRPr="00FB5880">
        <w:rPr>
          <w:rFonts w:cs="Arial"/>
          <w:noProof/>
        </w:rPr>
        <w:lastRenderedPageBreak/>
        <w:drawing>
          <wp:inline distT="0" distB="0" distL="0" distR="0">
            <wp:extent cx="5210175" cy="2800350"/>
            <wp:effectExtent l="19050" t="0" r="9525" b="0"/>
            <wp:docPr id="15" name="Picture 3" descr="C:\Users\Philippe\Documents\My Received Files\mcclain_files\b1wCnoizUwdBZbkPiBxeRkzswN0ZdC7oCc9Km8yWw.png"/>
            <wp:cNvGraphicFramePr/>
            <a:graphic xmlns:a="http://schemas.openxmlformats.org/drawingml/2006/main">
              <a:graphicData uri="http://schemas.openxmlformats.org/drawingml/2006/picture">
                <pic:pic xmlns:pic="http://schemas.openxmlformats.org/drawingml/2006/picture">
                  <pic:nvPicPr>
                    <pic:cNvPr id="3" name="Picture 2" descr="C:\Users\Philippe\Documents\My Received Files\mcclain_files\b1wCnoizUwdBZbkPiBxeRkzswN0ZdC7oCc9Km8yWw.png"/>
                    <pic:cNvPicPr/>
                  </pic:nvPicPr>
                  <pic:blipFill>
                    <a:blip r:embed="rId18" cstate="print">
                      <a:lum bright="-20000" contrast="40000"/>
                    </a:blip>
                    <a:srcRect t="51331" b="13951"/>
                    <a:stretch>
                      <a:fillRect/>
                    </a:stretch>
                  </pic:blipFill>
                  <pic:spPr bwMode="auto">
                    <a:xfrm>
                      <a:off x="0" y="0"/>
                      <a:ext cx="5210175" cy="2800350"/>
                    </a:xfrm>
                    <a:prstGeom prst="rect">
                      <a:avLst/>
                    </a:prstGeom>
                    <a:noFill/>
                    <a:ln w="9525">
                      <a:noFill/>
                      <a:miter lim="800000"/>
                      <a:headEnd/>
                      <a:tailEnd/>
                    </a:ln>
                  </pic:spPr>
                </pic:pic>
              </a:graphicData>
            </a:graphic>
          </wp:inline>
        </w:drawing>
      </w:r>
    </w:p>
    <w:p w:rsidR="00DE25BB" w:rsidRPr="00EF5425" w:rsidRDefault="00266A13" w:rsidP="00EF5425">
      <w:pPr>
        <w:spacing w:line="480" w:lineRule="auto"/>
        <w:ind w:firstLine="432"/>
        <w:rPr>
          <w:rFonts w:cs="Arial"/>
        </w:rPr>
      </w:pPr>
      <w:r>
        <w:rPr>
          <w:rFonts w:cs="Arial"/>
        </w:rPr>
        <w:t>Toussain</w:t>
      </w:r>
      <w:r w:rsidR="0029137C">
        <w:rPr>
          <w:rFonts w:cs="Arial"/>
        </w:rPr>
        <w:t>t</w:t>
      </w:r>
      <w:r>
        <w:rPr>
          <w:rFonts w:cs="Arial"/>
        </w:rPr>
        <w:t xml:space="preserve"> ag</w:t>
      </w:r>
      <w:r w:rsidR="0029137C">
        <w:rPr>
          <w:rFonts w:cs="Arial"/>
        </w:rPr>
        <w:t xml:space="preserve">rees with McClain that there’s not a present </w:t>
      </w:r>
      <w:proofErr w:type="spellStart"/>
      <w:r w:rsidR="0029137C">
        <w:rPr>
          <w:rFonts w:cs="Arial"/>
        </w:rPr>
        <w:t>mediatorial</w:t>
      </w:r>
      <w:proofErr w:type="spellEnd"/>
      <w:r w:rsidR="0029137C">
        <w:rPr>
          <w:rFonts w:cs="Arial"/>
        </w:rPr>
        <w:t xml:space="preserve"> kingdom.</w:t>
      </w:r>
      <w:r w:rsidR="0029137C">
        <w:rPr>
          <w:rStyle w:val="FootnoteReference"/>
          <w:rFonts w:cs="Arial"/>
        </w:rPr>
        <w:footnoteReference w:id="51"/>
      </w:r>
      <w:r w:rsidR="007C39ED">
        <w:rPr>
          <w:rFonts w:cs="Arial"/>
        </w:rPr>
        <w:t xml:space="preserve">  P</w:t>
      </w:r>
      <w:r w:rsidR="0029137C">
        <w:rPr>
          <w:rFonts w:cs="Arial"/>
        </w:rPr>
        <w:t>assages in the New Testament that speak of the presence of the kingdom refer to the future kingdom.</w:t>
      </w:r>
    </w:p>
    <w:p w:rsidR="00F760EA" w:rsidRDefault="00F760EA" w:rsidP="00F760EA">
      <w:pPr>
        <w:pStyle w:val="ListParagraph"/>
        <w:numPr>
          <w:ilvl w:val="0"/>
          <w:numId w:val="6"/>
        </w:numPr>
        <w:spacing w:line="480" w:lineRule="auto"/>
        <w:ind w:left="360"/>
        <w:rPr>
          <w:rFonts w:cs="Arial"/>
          <w:i/>
        </w:rPr>
      </w:pPr>
      <w:r>
        <w:rPr>
          <w:rFonts w:cs="Arial"/>
          <w:i/>
        </w:rPr>
        <w:t xml:space="preserve">Classical Dispensational </w:t>
      </w:r>
      <w:proofErr w:type="spellStart"/>
      <w:r>
        <w:rPr>
          <w:rFonts w:cs="Arial"/>
          <w:i/>
        </w:rPr>
        <w:t>Premillennialism</w:t>
      </w:r>
      <w:proofErr w:type="spellEnd"/>
      <w:r w:rsidR="00751FA2">
        <w:rPr>
          <w:rFonts w:cs="Arial"/>
          <w:i/>
        </w:rPr>
        <w:t xml:space="preserve"> – Kingdom </w:t>
      </w:r>
      <w:r w:rsidR="00FD3F62">
        <w:rPr>
          <w:rFonts w:cs="Arial"/>
          <w:i/>
        </w:rPr>
        <w:t>Anticipation</w:t>
      </w:r>
    </w:p>
    <w:p w:rsidR="00714BB3" w:rsidRDefault="00131C13" w:rsidP="00131C13">
      <w:pPr>
        <w:spacing w:line="480" w:lineRule="auto"/>
        <w:ind w:firstLine="432"/>
        <w:rPr>
          <w:rFonts w:cs="Arial"/>
        </w:rPr>
      </w:pPr>
      <w:proofErr w:type="spellStart"/>
      <w:r>
        <w:rPr>
          <w:rFonts w:cs="Arial"/>
        </w:rPr>
        <w:t>Blaising</w:t>
      </w:r>
      <w:proofErr w:type="spellEnd"/>
      <w:r>
        <w:rPr>
          <w:rFonts w:cs="Arial"/>
        </w:rPr>
        <w:t xml:space="preserve"> uses the phrase “</w:t>
      </w:r>
      <w:r w:rsidR="00FB6FFE">
        <w:rPr>
          <w:rFonts w:cs="Arial"/>
        </w:rPr>
        <w:t>c</w:t>
      </w:r>
      <w:r>
        <w:rPr>
          <w:rFonts w:cs="Arial"/>
        </w:rPr>
        <w:t xml:space="preserve">lassical </w:t>
      </w:r>
      <w:proofErr w:type="spellStart"/>
      <w:r>
        <w:rPr>
          <w:rFonts w:cs="Arial"/>
        </w:rPr>
        <w:t>dispensationalism</w:t>
      </w:r>
      <w:proofErr w:type="spellEnd"/>
      <w:r>
        <w:rPr>
          <w:rFonts w:cs="Arial"/>
        </w:rPr>
        <w:t xml:space="preserve">” to refer to the </w:t>
      </w:r>
      <w:r w:rsidR="00796026">
        <w:rPr>
          <w:rFonts w:cs="Arial"/>
        </w:rPr>
        <w:t xml:space="preserve">dispensational views </w:t>
      </w:r>
      <w:r>
        <w:rPr>
          <w:rFonts w:cs="Arial"/>
        </w:rPr>
        <w:t xml:space="preserve">stemming from the writings of John Nelson Darby in the mid-nineteenth century, the </w:t>
      </w:r>
      <w:proofErr w:type="spellStart"/>
      <w:r w:rsidRPr="00131C13">
        <w:rPr>
          <w:rFonts w:cs="Arial"/>
          <w:i/>
        </w:rPr>
        <w:t>Scofield</w:t>
      </w:r>
      <w:proofErr w:type="spellEnd"/>
      <w:r w:rsidRPr="00131C13">
        <w:rPr>
          <w:rFonts w:cs="Arial"/>
          <w:i/>
        </w:rPr>
        <w:t xml:space="preserve"> Reference Bible</w:t>
      </w:r>
      <w:r>
        <w:rPr>
          <w:rFonts w:cs="Arial"/>
        </w:rPr>
        <w:t xml:space="preserve"> in 1909 and 1917, and the </w:t>
      </w:r>
      <w:r w:rsidRPr="00131C13">
        <w:rPr>
          <w:rFonts w:cs="Arial"/>
          <w:i/>
        </w:rPr>
        <w:t>Systematic Theology</w:t>
      </w:r>
      <w:r w:rsidR="00FB6FFE">
        <w:rPr>
          <w:rFonts w:cs="Arial"/>
        </w:rPr>
        <w:t xml:space="preserve"> of </w:t>
      </w:r>
      <w:r>
        <w:rPr>
          <w:rFonts w:cs="Arial"/>
        </w:rPr>
        <w:t>Lewis Sperry Chafer in 1948.</w:t>
      </w:r>
      <w:r>
        <w:rPr>
          <w:rStyle w:val="FootnoteReference"/>
          <w:rFonts w:cs="Arial"/>
        </w:rPr>
        <w:footnoteReference w:id="52"/>
      </w:r>
      <w:r w:rsidR="00FB6FFE">
        <w:rPr>
          <w:rFonts w:cs="Arial"/>
        </w:rPr>
        <w:t xml:space="preserve">  He notes that what marks c</w:t>
      </w:r>
      <w:r>
        <w:rPr>
          <w:rFonts w:cs="Arial"/>
        </w:rPr>
        <w:t xml:space="preserve">lassical </w:t>
      </w:r>
      <w:proofErr w:type="spellStart"/>
      <w:r>
        <w:rPr>
          <w:rFonts w:cs="Arial"/>
        </w:rPr>
        <w:t>dispensationalism</w:t>
      </w:r>
      <w:proofErr w:type="spellEnd"/>
      <w:r>
        <w:rPr>
          <w:rFonts w:cs="Arial"/>
        </w:rPr>
        <w:t xml:space="preserve"> is the belief that Scripture reveals a</w:t>
      </w:r>
      <w:r w:rsidR="00FB6FFE">
        <w:rPr>
          <w:rFonts w:cs="Arial"/>
        </w:rPr>
        <w:t xml:space="preserve"> </w:t>
      </w:r>
      <w:r>
        <w:rPr>
          <w:rFonts w:cs="Arial"/>
        </w:rPr>
        <w:t>heavenly purpose for a heavenly people</w:t>
      </w:r>
      <w:r w:rsidR="00FB6FFE">
        <w:rPr>
          <w:rFonts w:cs="Arial"/>
        </w:rPr>
        <w:t xml:space="preserve"> (the church)</w:t>
      </w:r>
      <w:r>
        <w:rPr>
          <w:rFonts w:cs="Arial"/>
        </w:rPr>
        <w:t xml:space="preserve"> and </w:t>
      </w:r>
      <w:r w:rsidR="00D71502">
        <w:rPr>
          <w:rFonts w:cs="Arial"/>
        </w:rPr>
        <w:t xml:space="preserve">an </w:t>
      </w:r>
      <w:r>
        <w:rPr>
          <w:rFonts w:cs="Arial"/>
        </w:rPr>
        <w:t>earthly purpose for an earthly people</w:t>
      </w:r>
      <w:r w:rsidR="00FB6FFE">
        <w:rPr>
          <w:rFonts w:cs="Arial"/>
        </w:rPr>
        <w:t xml:space="preserve"> (Israel and the Gentile nations)</w:t>
      </w:r>
      <w:r>
        <w:rPr>
          <w:rFonts w:cs="Arial"/>
        </w:rPr>
        <w:t>.</w:t>
      </w:r>
      <w:r w:rsidR="00D71502">
        <w:rPr>
          <w:rStyle w:val="FootnoteReference"/>
          <w:rFonts w:cs="Arial"/>
        </w:rPr>
        <w:footnoteReference w:id="53"/>
      </w:r>
      <w:r w:rsidR="00FB6FFE">
        <w:rPr>
          <w:rFonts w:cs="Arial"/>
        </w:rPr>
        <w:t xml:space="preserve">  </w:t>
      </w:r>
      <w:proofErr w:type="spellStart"/>
      <w:r w:rsidR="00714BB3">
        <w:rPr>
          <w:rFonts w:cs="Arial"/>
        </w:rPr>
        <w:t>Blaising</w:t>
      </w:r>
      <w:proofErr w:type="spellEnd"/>
      <w:r w:rsidR="00714BB3">
        <w:rPr>
          <w:rFonts w:cs="Arial"/>
        </w:rPr>
        <w:t xml:space="preserve"> provides an extended discussion of this distinction</w:t>
      </w:r>
      <w:r w:rsidR="00AA6EF4">
        <w:rPr>
          <w:rFonts w:cs="Arial"/>
        </w:rPr>
        <w:t>:</w:t>
      </w:r>
      <w:r w:rsidR="00AA6EF4">
        <w:rPr>
          <w:rStyle w:val="FootnoteReference"/>
          <w:rFonts w:cs="Arial"/>
        </w:rPr>
        <w:footnoteReference w:id="54"/>
      </w:r>
    </w:p>
    <w:p w:rsidR="00714BB3" w:rsidRDefault="00AA6EF4" w:rsidP="00714BB3">
      <w:pPr>
        <w:ind w:left="720"/>
        <w:rPr>
          <w:rFonts w:cs="Arial"/>
          <w:sz w:val="20"/>
          <w:szCs w:val="20"/>
        </w:rPr>
      </w:pPr>
      <w:r>
        <w:rPr>
          <w:rFonts w:cs="Arial"/>
          <w:sz w:val="20"/>
          <w:szCs w:val="20"/>
        </w:rPr>
        <w:t xml:space="preserve">Perhaps the most important feature of classical </w:t>
      </w:r>
      <w:proofErr w:type="spellStart"/>
      <w:r>
        <w:rPr>
          <w:rFonts w:cs="Arial"/>
          <w:sz w:val="20"/>
          <w:szCs w:val="20"/>
        </w:rPr>
        <w:t>dispensationalism</w:t>
      </w:r>
      <w:proofErr w:type="spellEnd"/>
      <w:r>
        <w:rPr>
          <w:rFonts w:cs="Arial"/>
          <w:sz w:val="20"/>
          <w:szCs w:val="20"/>
        </w:rPr>
        <w:t xml:space="preserve"> is its dualistic idea of redemption. </w:t>
      </w:r>
      <w:r w:rsidR="00714BB3">
        <w:rPr>
          <w:rFonts w:cs="Arial"/>
          <w:sz w:val="20"/>
          <w:szCs w:val="20"/>
        </w:rPr>
        <w:t xml:space="preserve">In order to understand the Bible, one needed to recognize that God was pursuing </w:t>
      </w:r>
      <w:r w:rsidR="00714BB3" w:rsidRPr="0052218D">
        <w:rPr>
          <w:rFonts w:cs="Arial"/>
          <w:i/>
          <w:sz w:val="20"/>
          <w:szCs w:val="20"/>
        </w:rPr>
        <w:t>two different purposes</w:t>
      </w:r>
      <w:r w:rsidR="00714BB3">
        <w:rPr>
          <w:rFonts w:cs="Arial"/>
          <w:sz w:val="20"/>
          <w:szCs w:val="20"/>
        </w:rPr>
        <w:t xml:space="preserve">, one </w:t>
      </w:r>
      <w:r w:rsidR="00714BB3">
        <w:rPr>
          <w:rFonts w:cs="Arial"/>
          <w:sz w:val="20"/>
          <w:szCs w:val="20"/>
        </w:rPr>
        <w:lastRenderedPageBreak/>
        <w:t xml:space="preserve">related to </w:t>
      </w:r>
      <w:r w:rsidR="00714BB3" w:rsidRPr="0052218D">
        <w:rPr>
          <w:rFonts w:cs="Arial"/>
          <w:i/>
          <w:sz w:val="20"/>
          <w:szCs w:val="20"/>
        </w:rPr>
        <w:t>heaven</w:t>
      </w:r>
      <w:r w:rsidR="00714BB3">
        <w:rPr>
          <w:rFonts w:cs="Arial"/>
          <w:sz w:val="20"/>
          <w:szCs w:val="20"/>
        </w:rPr>
        <w:t xml:space="preserve"> and one related to the </w:t>
      </w:r>
      <w:r w:rsidR="00714BB3" w:rsidRPr="0052218D">
        <w:rPr>
          <w:rFonts w:cs="Arial"/>
          <w:i/>
          <w:sz w:val="20"/>
          <w:szCs w:val="20"/>
        </w:rPr>
        <w:t>earth</w:t>
      </w:r>
      <w:r w:rsidR="00714BB3">
        <w:rPr>
          <w:rFonts w:cs="Arial"/>
          <w:sz w:val="20"/>
          <w:szCs w:val="20"/>
        </w:rPr>
        <w:t>.  These two purposes affected God’</w:t>
      </w:r>
      <w:r>
        <w:rPr>
          <w:rFonts w:cs="Arial"/>
          <w:sz w:val="20"/>
          <w:szCs w:val="20"/>
        </w:rPr>
        <w:t>s dealings with humanit</w:t>
      </w:r>
      <w:r w:rsidR="00714BB3">
        <w:rPr>
          <w:rFonts w:cs="Arial"/>
          <w:sz w:val="20"/>
          <w:szCs w:val="20"/>
        </w:rPr>
        <w:t>y.  In fact, they resulted in an anthropological dualism: a heavenly humanity and an earthly humanity.</w:t>
      </w:r>
    </w:p>
    <w:p w:rsidR="00A71DA0" w:rsidRDefault="00A71DA0" w:rsidP="00714BB3">
      <w:pPr>
        <w:ind w:left="720"/>
        <w:rPr>
          <w:rFonts w:cs="Arial"/>
          <w:sz w:val="20"/>
          <w:szCs w:val="20"/>
        </w:rPr>
      </w:pPr>
    </w:p>
    <w:p w:rsidR="00A71DA0" w:rsidRDefault="00A71DA0" w:rsidP="00714BB3">
      <w:pPr>
        <w:ind w:left="720"/>
        <w:rPr>
          <w:rFonts w:cs="Arial"/>
          <w:sz w:val="20"/>
          <w:szCs w:val="20"/>
        </w:rPr>
      </w:pPr>
      <w:r>
        <w:rPr>
          <w:rFonts w:cs="Arial"/>
          <w:sz w:val="20"/>
          <w:szCs w:val="20"/>
        </w:rPr>
        <w:t>To put it another way, one of God’s purposes in redemption was to release the earth from the curse of corruption an</w:t>
      </w:r>
      <w:r w:rsidR="00EF0DFB">
        <w:rPr>
          <w:rFonts w:cs="Arial"/>
          <w:sz w:val="20"/>
          <w:szCs w:val="20"/>
        </w:rPr>
        <w:t xml:space="preserve">d decay, and to restore upon it </w:t>
      </w:r>
      <w:proofErr w:type="gramStart"/>
      <w:r>
        <w:rPr>
          <w:rFonts w:cs="Arial"/>
          <w:sz w:val="20"/>
          <w:szCs w:val="20"/>
        </w:rPr>
        <w:t>a humanity</w:t>
      </w:r>
      <w:proofErr w:type="gramEnd"/>
      <w:r>
        <w:rPr>
          <w:rFonts w:cs="Arial"/>
          <w:sz w:val="20"/>
          <w:szCs w:val="20"/>
        </w:rPr>
        <w:t xml:space="preserve"> free from death and sin.  This was the earthly purpose of God.  God will restore permanently the paradise lost in the </w:t>
      </w:r>
      <w:proofErr w:type="gramStart"/>
      <w:r>
        <w:rPr>
          <w:rFonts w:cs="Arial"/>
          <w:sz w:val="20"/>
          <w:szCs w:val="20"/>
        </w:rPr>
        <w:t>Fall</w:t>
      </w:r>
      <w:proofErr w:type="gramEnd"/>
      <w:r>
        <w:rPr>
          <w:rFonts w:cs="Arial"/>
          <w:sz w:val="20"/>
          <w:szCs w:val="20"/>
        </w:rPr>
        <w:t>, granting immortality to earthly humanity.  Some writers envisioned these blessings in quite physical terms, including human reproduction to increase the plenitude of the human race</w:t>
      </w:r>
      <w:r w:rsidR="00A65192">
        <w:rPr>
          <w:rFonts w:cs="Arial"/>
          <w:sz w:val="20"/>
          <w:szCs w:val="20"/>
        </w:rPr>
        <w:t>.</w:t>
      </w:r>
      <w:r w:rsidR="008F3A71">
        <w:rPr>
          <w:rStyle w:val="FootnoteReference"/>
          <w:rFonts w:cs="Arial"/>
          <w:sz w:val="20"/>
          <w:szCs w:val="20"/>
        </w:rPr>
        <w:footnoteReference w:id="55"/>
      </w:r>
    </w:p>
    <w:p w:rsidR="00A65192" w:rsidRDefault="00A65192" w:rsidP="00714BB3">
      <w:pPr>
        <w:ind w:left="720"/>
        <w:rPr>
          <w:rFonts w:cs="Arial"/>
          <w:sz w:val="20"/>
          <w:szCs w:val="20"/>
        </w:rPr>
      </w:pPr>
    </w:p>
    <w:p w:rsidR="00A65192" w:rsidRDefault="00A65192" w:rsidP="00714BB3">
      <w:pPr>
        <w:ind w:left="720"/>
        <w:rPr>
          <w:rFonts w:cs="Arial"/>
          <w:sz w:val="20"/>
          <w:szCs w:val="20"/>
        </w:rPr>
      </w:pPr>
      <w:r>
        <w:rPr>
          <w:rFonts w:cs="Arial"/>
          <w:sz w:val="20"/>
          <w:szCs w:val="20"/>
        </w:rPr>
        <w:lastRenderedPageBreak/>
        <w:t xml:space="preserve">It is important to understand that in classical </w:t>
      </w:r>
      <w:proofErr w:type="spellStart"/>
      <w:r>
        <w:rPr>
          <w:rFonts w:cs="Arial"/>
          <w:sz w:val="20"/>
          <w:szCs w:val="20"/>
        </w:rPr>
        <w:t>dispensationalism</w:t>
      </w:r>
      <w:proofErr w:type="spellEnd"/>
      <w:r>
        <w:rPr>
          <w:rFonts w:cs="Arial"/>
          <w:sz w:val="20"/>
          <w:szCs w:val="20"/>
        </w:rPr>
        <w:t xml:space="preserve"> this earthly humanity is eternal.  It first appears in the Millennium (the future 1,000-year reign of Christ), but it will not have reached its eternal glory until the end of that time.  It will then continue onto the new earth populating it forever.</w:t>
      </w:r>
    </w:p>
    <w:p w:rsidR="00A65192" w:rsidRDefault="00A65192" w:rsidP="00714BB3">
      <w:pPr>
        <w:ind w:left="720"/>
        <w:rPr>
          <w:rFonts w:cs="Arial"/>
          <w:sz w:val="20"/>
          <w:szCs w:val="20"/>
        </w:rPr>
      </w:pPr>
    </w:p>
    <w:p w:rsidR="00A65192" w:rsidRDefault="00A65192" w:rsidP="00714BB3">
      <w:pPr>
        <w:ind w:left="720"/>
        <w:rPr>
          <w:rFonts w:cs="Arial"/>
          <w:sz w:val="20"/>
          <w:szCs w:val="20"/>
        </w:rPr>
      </w:pPr>
      <w:r>
        <w:rPr>
          <w:rFonts w:cs="Arial"/>
          <w:sz w:val="20"/>
          <w:szCs w:val="20"/>
        </w:rPr>
        <w:t>But God has a second purpose, a heavenly purpose which envisions a heavenly humanity.  This heavenly humanity was to be made up of all the redeemed from all dispensations who would be resurrected from the dead.  Whereas the earthly humanity concerned people who had not died but who were preserved by God from death, the heavenly humanity was made up of all the saved who had died, whom God would resurrect from the dead.</w:t>
      </w:r>
    </w:p>
    <w:p w:rsidR="00A65192" w:rsidRDefault="00A65192" w:rsidP="00714BB3">
      <w:pPr>
        <w:ind w:left="720"/>
        <w:rPr>
          <w:rFonts w:cs="Arial"/>
          <w:sz w:val="20"/>
          <w:szCs w:val="20"/>
        </w:rPr>
      </w:pPr>
    </w:p>
    <w:p w:rsidR="00A65192" w:rsidRDefault="00A65192" w:rsidP="00714BB3">
      <w:pPr>
        <w:ind w:left="720"/>
        <w:rPr>
          <w:rFonts w:cs="Arial"/>
          <w:sz w:val="20"/>
          <w:szCs w:val="20"/>
        </w:rPr>
      </w:pPr>
      <w:r>
        <w:rPr>
          <w:rFonts w:cs="Arial"/>
          <w:sz w:val="20"/>
          <w:szCs w:val="20"/>
        </w:rPr>
        <w:t>By the nature of the case, the heavenly humanity would be a “</w:t>
      </w:r>
      <w:proofErr w:type="spellStart"/>
      <w:r>
        <w:rPr>
          <w:rFonts w:cs="Arial"/>
          <w:sz w:val="20"/>
          <w:szCs w:val="20"/>
        </w:rPr>
        <w:t>transdispensational</w:t>
      </w:r>
      <w:proofErr w:type="spellEnd"/>
      <w:r>
        <w:rPr>
          <w:rFonts w:cs="Arial"/>
          <w:sz w:val="20"/>
          <w:szCs w:val="20"/>
        </w:rPr>
        <w:t>” community.  All the saved of previous dispensations are dead, and all those of the present dispensation prior to this generation are likewise dead</w:t>
      </w:r>
      <w:r w:rsidR="0052218D">
        <w:rPr>
          <w:rFonts w:cs="Arial"/>
          <w:sz w:val="20"/>
          <w:szCs w:val="20"/>
        </w:rPr>
        <w:t>.  They are, of cour</w:t>
      </w:r>
      <w:r w:rsidR="004E28C4">
        <w:rPr>
          <w:rFonts w:cs="Arial"/>
          <w:sz w:val="20"/>
          <w:szCs w:val="20"/>
        </w:rPr>
        <w:t>se, with the L</w:t>
      </w:r>
      <w:r w:rsidR="0052218D">
        <w:rPr>
          <w:rFonts w:cs="Arial"/>
          <w:sz w:val="20"/>
          <w:szCs w:val="20"/>
        </w:rPr>
        <w:t>o</w:t>
      </w:r>
      <w:r w:rsidR="004E28C4">
        <w:rPr>
          <w:rFonts w:cs="Arial"/>
          <w:sz w:val="20"/>
          <w:szCs w:val="20"/>
        </w:rPr>
        <w:t>r</w:t>
      </w:r>
      <w:r w:rsidR="0052218D">
        <w:rPr>
          <w:rFonts w:cs="Arial"/>
          <w:sz w:val="20"/>
          <w:szCs w:val="20"/>
        </w:rPr>
        <w:t>d now.  But their future hope lies in the resurrection, by which they will fully receive their heavenly salvation in a heavenly inheritance.</w:t>
      </w:r>
    </w:p>
    <w:p w:rsidR="0052218D" w:rsidRDefault="0052218D" w:rsidP="00714BB3">
      <w:pPr>
        <w:ind w:left="720"/>
        <w:rPr>
          <w:rFonts w:cs="Arial"/>
          <w:sz w:val="20"/>
          <w:szCs w:val="20"/>
        </w:rPr>
      </w:pPr>
    </w:p>
    <w:p w:rsidR="0052218D" w:rsidRDefault="0052218D" w:rsidP="00714BB3">
      <w:pPr>
        <w:ind w:left="720"/>
        <w:rPr>
          <w:rFonts w:cs="Arial"/>
          <w:sz w:val="20"/>
          <w:szCs w:val="20"/>
        </w:rPr>
      </w:pPr>
      <w:r>
        <w:rPr>
          <w:rFonts w:cs="Arial"/>
          <w:sz w:val="20"/>
          <w:szCs w:val="20"/>
        </w:rPr>
        <w:t xml:space="preserve">The earthly humanity will begin with that generation of the saved who are present on earth at the Lord’s return.  They will be preserved from death, as will all their descendants who are of faith.  They will not be resurrected from the dead nor will they be transformed into a resurrection mode of life.  They are </w:t>
      </w:r>
      <w:r w:rsidRPr="0052218D">
        <w:rPr>
          <w:rFonts w:cs="Arial"/>
          <w:i/>
          <w:sz w:val="20"/>
          <w:szCs w:val="20"/>
        </w:rPr>
        <w:t>earthly</w:t>
      </w:r>
      <w:r>
        <w:rPr>
          <w:rFonts w:cs="Arial"/>
          <w:sz w:val="20"/>
          <w:szCs w:val="20"/>
        </w:rPr>
        <w:t xml:space="preserve"> people and they experience the earthly salvation which God has designed according to His purpose for the earth.</w:t>
      </w:r>
    </w:p>
    <w:p w:rsidR="0052218D" w:rsidRDefault="0052218D" w:rsidP="00714BB3">
      <w:pPr>
        <w:ind w:left="720"/>
        <w:rPr>
          <w:rFonts w:cs="Arial"/>
          <w:sz w:val="20"/>
          <w:szCs w:val="20"/>
        </w:rPr>
      </w:pPr>
    </w:p>
    <w:p w:rsidR="0052218D" w:rsidRDefault="0052218D" w:rsidP="00714BB3">
      <w:pPr>
        <w:ind w:left="720"/>
        <w:rPr>
          <w:rFonts w:cs="Arial"/>
          <w:sz w:val="20"/>
          <w:szCs w:val="20"/>
        </w:rPr>
      </w:pPr>
      <w:r>
        <w:rPr>
          <w:rFonts w:cs="Arial"/>
          <w:sz w:val="20"/>
          <w:szCs w:val="20"/>
        </w:rPr>
        <w:t xml:space="preserve">In summary, the central dualism of classical </w:t>
      </w:r>
      <w:proofErr w:type="spellStart"/>
      <w:r>
        <w:rPr>
          <w:rFonts w:cs="Arial"/>
          <w:sz w:val="20"/>
          <w:szCs w:val="20"/>
        </w:rPr>
        <w:t>dispensationalism</w:t>
      </w:r>
      <w:proofErr w:type="spellEnd"/>
      <w:r>
        <w:rPr>
          <w:rFonts w:cs="Arial"/>
          <w:sz w:val="20"/>
          <w:szCs w:val="20"/>
        </w:rPr>
        <w:t xml:space="preserve"> asserts that God is pursuing two purposes in redemption, one relating to heaven and a heavenly people and one relating to the earth concerning an earthly people.  Both purposes will be accomplished and confirmed forever.</w:t>
      </w:r>
    </w:p>
    <w:p w:rsidR="00AA6EF4" w:rsidRPr="00714BB3" w:rsidRDefault="00AA6EF4" w:rsidP="00714BB3">
      <w:pPr>
        <w:ind w:left="720"/>
        <w:rPr>
          <w:rFonts w:cs="Arial"/>
          <w:sz w:val="20"/>
          <w:szCs w:val="20"/>
        </w:rPr>
      </w:pPr>
    </w:p>
    <w:p w:rsidR="00B475D6" w:rsidRDefault="00B475D6" w:rsidP="00131C13">
      <w:pPr>
        <w:spacing w:line="480" w:lineRule="auto"/>
        <w:ind w:firstLine="432"/>
        <w:rPr>
          <w:rFonts w:cs="Arial"/>
        </w:rPr>
      </w:pPr>
      <w:proofErr w:type="spellStart"/>
      <w:r>
        <w:rPr>
          <w:rFonts w:cs="Arial"/>
        </w:rPr>
        <w:t>Blaising</w:t>
      </w:r>
      <w:proofErr w:type="spellEnd"/>
      <w:r>
        <w:rPr>
          <w:rFonts w:cs="Arial"/>
        </w:rPr>
        <w:t xml:space="preserve"> notes later concerning the different stance of progressive dispensationalists:</w:t>
      </w:r>
      <w:r>
        <w:rPr>
          <w:rStyle w:val="FootnoteReference"/>
          <w:rFonts w:cs="Arial"/>
        </w:rPr>
        <w:footnoteReference w:id="56"/>
      </w:r>
    </w:p>
    <w:p w:rsidR="00B475D6" w:rsidRDefault="00B475D6" w:rsidP="00B475D6">
      <w:pPr>
        <w:ind w:left="720"/>
        <w:rPr>
          <w:rFonts w:cs="Arial"/>
          <w:sz w:val="20"/>
          <w:szCs w:val="20"/>
        </w:rPr>
      </w:pPr>
      <w:r>
        <w:rPr>
          <w:rFonts w:cs="Arial"/>
          <w:sz w:val="20"/>
          <w:szCs w:val="20"/>
        </w:rPr>
        <w:t>One of the strikin</w:t>
      </w:r>
      <w:r w:rsidR="000D5170">
        <w:rPr>
          <w:rFonts w:cs="Arial"/>
          <w:sz w:val="20"/>
          <w:szCs w:val="20"/>
        </w:rPr>
        <w:t>g differences between progressi</w:t>
      </w:r>
      <w:r>
        <w:rPr>
          <w:rFonts w:cs="Arial"/>
          <w:sz w:val="20"/>
          <w:szCs w:val="20"/>
        </w:rPr>
        <w:t>ve</w:t>
      </w:r>
      <w:r w:rsidR="000D5170">
        <w:rPr>
          <w:rFonts w:cs="Arial"/>
          <w:sz w:val="20"/>
          <w:szCs w:val="20"/>
        </w:rPr>
        <w:t>s</w:t>
      </w:r>
      <w:r>
        <w:rPr>
          <w:rFonts w:cs="Arial"/>
          <w:sz w:val="20"/>
          <w:szCs w:val="20"/>
        </w:rPr>
        <w:t xml:space="preserve"> and earlier dispensationalists, is that</w:t>
      </w:r>
      <w:r w:rsidR="000577F0">
        <w:rPr>
          <w:rFonts w:cs="Arial"/>
          <w:sz w:val="20"/>
          <w:szCs w:val="20"/>
        </w:rPr>
        <w:t xml:space="preserve"> progressi</w:t>
      </w:r>
      <w:r>
        <w:rPr>
          <w:rFonts w:cs="Arial"/>
          <w:sz w:val="20"/>
          <w:szCs w:val="20"/>
        </w:rPr>
        <w:t xml:space="preserve">ves do not view the church as an </w:t>
      </w:r>
      <w:proofErr w:type="gramStart"/>
      <w:r>
        <w:rPr>
          <w:rFonts w:cs="Arial"/>
          <w:sz w:val="20"/>
          <w:szCs w:val="20"/>
        </w:rPr>
        <w:t>anthropological  category</w:t>
      </w:r>
      <w:proofErr w:type="gramEnd"/>
      <w:r>
        <w:rPr>
          <w:rFonts w:cs="Arial"/>
          <w:sz w:val="20"/>
          <w:szCs w:val="20"/>
        </w:rPr>
        <w:t xml:space="preserve"> in the same class as terms like Israel, Gentile Nations, Jews, and Gentile people.  The church is neither a separate race of humanity (in contrast to Jews and Gentiles) nor a competing nation (alongside Israel and Gentile nations), nor is it a group of angelic-like humans destined for the heavens in contrast to the rest of redeemed humanity on the earth.  The church is precisely redeemed humanity itself (both Jews and Gentiles) as it exists </w:t>
      </w:r>
      <w:r w:rsidRPr="00B475D6">
        <w:rPr>
          <w:rFonts w:cs="Arial"/>
          <w:i/>
          <w:sz w:val="20"/>
          <w:szCs w:val="20"/>
        </w:rPr>
        <w:t>in this dispensation</w:t>
      </w:r>
      <w:r>
        <w:rPr>
          <w:rFonts w:cs="Arial"/>
          <w:sz w:val="20"/>
          <w:szCs w:val="20"/>
        </w:rPr>
        <w:t xml:space="preserve"> prior to the coming of Christ.</w:t>
      </w:r>
    </w:p>
    <w:p w:rsidR="00B475D6" w:rsidRPr="00B475D6" w:rsidRDefault="00B475D6" w:rsidP="00B475D6">
      <w:pPr>
        <w:ind w:left="720"/>
        <w:rPr>
          <w:rFonts w:cs="Arial"/>
          <w:sz w:val="20"/>
          <w:szCs w:val="20"/>
        </w:rPr>
      </w:pPr>
    </w:p>
    <w:p w:rsidR="008D01FC" w:rsidRDefault="002716C9" w:rsidP="00131C13">
      <w:pPr>
        <w:spacing w:line="480" w:lineRule="auto"/>
        <w:ind w:firstLine="432"/>
        <w:rPr>
          <w:rFonts w:cs="Arial"/>
        </w:rPr>
      </w:pPr>
      <w:proofErr w:type="spellStart"/>
      <w:r>
        <w:rPr>
          <w:rFonts w:cs="Arial"/>
        </w:rPr>
        <w:t>Blaising</w:t>
      </w:r>
      <w:proofErr w:type="spellEnd"/>
      <w:r>
        <w:rPr>
          <w:rFonts w:cs="Arial"/>
        </w:rPr>
        <w:t xml:space="preserve"> portrays the purposes of God in classical </w:t>
      </w:r>
      <w:proofErr w:type="spellStart"/>
      <w:r>
        <w:rPr>
          <w:rFonts w:cs="Arial"/>
        </w:rPr>
        <w:t>dispensationalism</w:t>
      </w:r>
      <w:proofErr w:type="spellEnd"/>
      <w:r>
        <w:rPr>
          <w:rFonts w:cs="Arial"/>
        </w:rPr>
        <w:t xml:space="preserve"> in the following chart:</w:t>
      </w:r>
      <w:r>
        <w:rPr>
          <w:rStyle w:val="FootnoteReference"/>
          <w:rFonts w:cs="Arial"/>
        </w:rPr>
        <w:footnoteReference w:id="57"/>
      </w:r>
    </w:p>
    <w:p w:rsidR="002716C9" w:rsidRPr="00131C13" w:rsidRDefault="002716C9" w:rsidP="002716C9">
      <w:pPr>
        <w:spacing w:line="480" w:lineRule="auto"/>
        <w:rPr>
          <w:rFonts w:cs="Arial"/>
        </w:rPr>
      </w:pPr>
      <w:r w:rsidRPr="002716C9">
        <w:rPr>
          <w:rFonts w:cs="Arial"/>
          <w:noProof/>
        </w:rPr>
        <w:drawing>
          <wp:inline distT="0" distB="0" distL="0" distR="0">
            <wp:extent cx="4972050" cy="2219325"/>
            <wp:effectExtent l="19050" t="0" r="0" b="0"/>
            <wp:docPr id="14" name="Picture 13" descr="C:\Users\Philippe\Documents\My Received Files\classical_files\G9NnWK3Q6yRn9ak.png"/>
            <wp:cNvGraphicFramePr/>
            <a:graphic xmlns:a="http://schemas.openxmlformats.org/drawingml/2006/main">
              <a:graphicData uri="http://schemas.openxmlformats.org/drawingml/2006/picture">
                <pic:pic xmlns:pic="http://schemas.openxmlformats.org/drawingml/2006/picture">
                  <pic:nvPicPr>
                    <pic:cNvPr id="2" name="Picture 1" descr="C:\Users\Philippe\Documents\My Received Files\classical_files\G9NnWK3Q6yRn9ak.png"/>
                    <pic:cNvPicPr/>
                  </pic:nvPicPr>
                  <pic:blipFill>
                    <a:blip r:embed="rId19" cstate="print">
                      <a:lum bright="-20000" contrast="40000"/>
                    </a:blip>
                    <a:srcRect t="48207" b="15737"/>
                    <a:stretch>
                      <a:fillRect/>
                    </a:stretch>
                  </pic:blipFill>
                  <pic:spPr bwMode="auto">
                    <a:xfrm>
                      <a:off x="0" y="0"/>
                      <a:ext cx="4972050" cy="2219325"/>
                    </a:xfrm>
                    <a:prstGeom prst="rect">
                      <a:avLst/>
                    </a:prstGeom>
                    <a:noFill/>
                    <a:ln w="9525">
                      <a:noFill/>
                      <a:miter lim="800000"/>
                      <a:headEnd/>
                      <a:tailEnd/>
                    </a:ln>
                  </pic:spPr>
                </pic:pic>
              </a:graphicData>
            </a:graphic>
          </wp:inline>
        </w:drawing>
      </w:r>
    </w:p>
    <w:p w:rsidR="00A71DA0" w:rsidRPr="00D60835" w:rsidRDefault="005564EA" w:rsidP="00A71DA0">
      <w:pPr>
        <w:spacing w:line="480" w:lineRule="auto"/>
        <w:ind w:firstLine="432"/>
        <w:rPr>
          <w:rFonts w:cs="Arial"/>
          <w:b/>
          <w:sz w:val="20"/>
          <w:szCs w:val="20"/>
        </w:rPr>
      </w:pPr>
      <w:r>
        <w:rPr>
          <w:rFonts w:cs="Arial"/>
        </w:rPr>
        <w:lastRenderedPageBreak/>
        <w:t>Classical dispensation</w:t>
      </w:r>
      <w:r w:rsidR="00C82B89">
        <w:rPr>
          <w:rFonts w:cs="Arial"/>
        </w:rPr>
        <w:t>alists see t</w:t>
      </w:r>
      <w:r w:rsidR="00A71DA0">
        <w:rPr>
          <w:rFonts w:cs="Arial"/>
        </w:rPr>
        <w:t>he church age</w:t>
      </w:r>
      <w:r w:rsidR="00C82B89">
        <w:rPr>
          <w:rFonts w:cs="Arial"/>
        </w:rPr>
        <w:t xml:space="preserve"> a</w:t>
      </w:r>
      <w:r w:rsidR="00A71DA0">
        <w:rPr>
          <w:rFonts w:cs="Arial"/>
        </w:rPr>
        <w:t>s a parenthesis in God’s kingdom program with Israel.</w:t>
      </w:r>
      <w:r w:rsidR="00D4674D">
        <w:rPr>
          <w:rFonts w:cs="Arial"/>
        </w:rPr>
        <w:t xml:space="preserve">  Most also hold that the</w:t>
      </w:r>
      <w:r w:rsidR="00A71DA0">
        <w:rPr>
          <w:rFonts w:cs="Arial"/>
        </w:rPr>
        <w:t xml:space="preserve"> church should be primarily concerned with spiritual issues in the present age instead o</w:t>
      </w:r>
      <w:r w:rsidR="00C82B89">
        <w:rPr>
          <w:rFonts w:cs="Arial"/>
        </w:rPr>
        <w:t>f political and social issues.</w:t>
      </w:r>
    </w:p>
    <w:p w:rsidR="001C0F95" w:rsidRDefault="001C0F95" w:rsidP="001C0F95">
      <w:pPr>
        <w:spacing w:line="480" w:lineRule="auto"/>
        <w:ind w:firstLine="432"/>
        <w:jc w:val="center"/>
        <w:rPr>
          <w:rFonts w:cs="Arial"/>
          <w:b/>
          <w:sz w:val="28"/>
          <w:szCs w:val="28"/>
        </w:rPr>
      </w:pPr>
      <w:r>
        <w:rPr>
          <w:rFonts w:cs="Arial"/>
          <w:b/>
          <w:sz w:val="28"/>
          <w:szCs w:val="28"/>
        </w:rPr>
        <w:t>III</w:t>
      </w:r>
      <w:proofErr w:type="gramStart"/>
      <w:r>
        <w:rPr>
          <w:rFonts w:cs="Arial"/>
          <w:b/>
          <w:sz w:val="28"/>
          <w:szCs w:val="28"/>
        </w:rPr>
        <w:t xml:space="preserve">.  </w:t>
      </w:r>
      <w:r w:rsidR="00D60835">
        <w:rPr>
          <w:rFonts w:cs="Arial"/>
          <w:b/>
          <w:sz w:val="28"/>
          <w:szCs w:val="28"/>
        </w:rPr>
        <w:t>IMPLICATIONS</w:t>
      </w:r>
      <w:proofErr w:type="gramEnd"/>
      <w:r w:rsidR="00D60835">
        <w:rPr>
          <w:rFonts w:cs="Arial"/>
          <w:b/>
          <w:sz w:val="28"/>
          <w:szCs w:val="28"/>
        </w:rPr>
        <w:t xml:space="preserve"> OF </w:t>
      </w:r>
      <w:r w:rsidR="007E6A62">
        <w:rPr>
          <w:rFonts w:cs="Arial"/>
          <w:b/>
          <w:sz w:val="28"/>
          <w:szCs w:val="28"/>
        </w:rPr>
        <w:t xml:space="preserve">MESSIAH’S </w:t>
      </w:r>
      <w:r w:rsidR="00D60835">
        <w:rPr>
          <w:rFonts w:cs="Arial"/>
          <w:b/>
          <w:sz w:val="28"/>
          <w:szCs w:val="28"/>
        </w:rPr>
        <w:t>KINGDOM VIEWS</w:t>
      </w:r>
    </w:p>
    <w:p w:rsidR="000A2290" w:rsidRPr="00EB5CEF" w:rsidRDefault="00AC1B39" w:rsidP="00EB5CEF">
      <w:pPr>
        <w:spacing w:line="480" w:lineRule="auto"/>
        <w:ind w:firstLine="432"/>
        <w:rPr>
          <w:rFonts w:cs="Arial"/>
        </w:rPr>
      </w:pPr>
      <w:r>
        <w:rPr>
          <w:rFonts w:cs="Arial"/>
        </w:rPr>
        <w:t>What are the implications of the contemporary evangelical views of the coming of the kingdom for the church, Israel, and a believer’s hope?</w:t>
      </w:r>
      <w:r w:rsidR="002431B1">
        <w:rPr>
          <w:rFonts w:cs="Arial"/>
        </w:rPr>
        <w:t xml:space="preserve">  What we believe about the when and how of the coming of the kingdom affects our view of the church and its mission in the world, our view of the Jewish people and the nation of Israel, and </w:t>
      </w:r>
      <w:r w:rsidR="00AC6267">
        <w:rPr>
          <w:rFonts w:cs="Arial"/>
        </w:rPr>
        <w:t>our view of the Christian hope</w:t>
      </w:r>
      <w:r w:rsidR="002431B1">
        <w:rPr>
          <w:rFonts w:cs="Arial"/>
        </w:rPr>
        <w:t xml:space="preserve">.  </w:t>
      </w:r>
    </w:p>
    <w:p w:rsidR="001C0F95" w:rsidRDefault="001C0F95" w:rsidP="001C0F95">
      <w:pPr>
        <w:pStyle w:val="ListParagraph"/>
        <w:numPr>
          <w:ilvl w:val="0"/>
          <w:numId w:val="9"/>
        </w:numPr>
        <w:spacing w:line="480" w:lineRule="auto"/>
        <w:ind w:left="360"/>
        <w:rPr>
          <w:rFonts w:cs="Arial"/>
          <w:b/>
        </w:rPr>
      </w:pPr>
      <w:r>
        <w:rPr>
          <w:rFonts w:cs="Arial"/>
          <w:b/>
        </w:rPr>
        <w:t>THE CHURCH AND ITS MISSION</w:t>
      </w:r>
    </w:p>
    <w:p w:rsidR="00AC6267" w:rsidRDefault="00AC6267" w:rsidP="00AC6267">
      <w:pPr>
        <w:spacing w:line="480" w:lineRule="auto"/>
        <w:ind w:firstLine="432"/>
        <w:rPr>
          <w:rFonts w:cs="Arial"/>
        </w:rPr>
      </w:pPr>
      <w:r>
        <w:rPr>
          <w:rFonts w:cs="Arial"/>
        </w:rPr>
        <w:t xml:space="preserve">Darrell Bock provides a good summary </w:t>
      </w:r>
      <w:r w:rsidR="002E14E4">
        <w:rPr>
          <w:rFonts w:cs="Arial"/>
        </w:rPr>
        <w:t xml:space="preserve">of how </w:t>
      </w:r>
      <w:r>
        <w:rPr>
          <w:rFonts w:cs="Arial"/>
        </w:rPr>
        <w:t xml:space="preserve">the differences in </w:t>
      </w:r>
      <w:r w:rsidR="002E14E4">
        <w:rPr>
          <w:rFonts w:cs="Arial"/>
        </w:rPr>
        <w:t xml:space="preserve">kingdom </w:t>
      </w:r>
      <w:r>
        <w:rPr>
          <w:rFonts w:cs="Arial"/>
        </w:rPr>
        <w:t>view can</w:t>
      </w:r>
      <w:r w:rsidR="002E14E4">
        <w:rPr>
          <w:rFonts w:cs="Arial"/>
        </w:rPr>
        <w:t xml:space="preserve"> practically</w:t>
      </w:r>
      <w:r>
        <w:rPr>
          <w:rFonts w:cs="Arial"/>
        </w:rPr>
        <w:t xml:space="preserve"> impact mission and outreach.</w:t>
      </w:r>
      <w:r>
        <w:rPr>
          <w:rStyle w:val="FootnoteReference"/>
          <w:rFonts w:cs="Arial"/>
        </w:rPr>
        <w:footnoteReference w:id="58"/>
      </w:r>
      <w:r>
        <w:rPr>
          <w:rFonts w:cs="Arial"/>
        </w:rPr>
        <w:t xml:space="preserve">  For postmillennialism the church’s call and destiny involves the declaration and establishment of the Lord’s sovereignty over all the social-political-religious structures on earth</w:t>
      </w:r>
      <w:r w:rsidR="00FF4A82">
        <w:rPr>
          <w:rFonts w:cs="Arial"/>
        </w:rPr>
        <w:t>.  The church’s mission moves towards victory and authority in every sphere</w:t>
      </w:r>
      <w:r w:rsidR="006935A6">
        <w:rPr>
          <w:rFonts w:cs="Arial"/>
        </w:rPr>
        <w:t xml:space="preserve"> of human life</w:t>
      </w:r>
      <w:r w:rsidR="00FF4A82">
        <w:rPr>
          <w:rFonts w:cs="Arial"/>
        </w:rPr>
        <w:t xml:space="preserve">.  The church has a full-blown cultural mandate to achieve her call in all areas of life.  </w:t>
      </w:r>
      <w:proofErr w:type="spellStart"/>
      <w:r w:rsidR="00FF4A82">
        <w:rPr>
          <w:rFonts w:cs="Arial"/>
        </w:rPr>
        <w:t>Theonomic</w:t>
      </w:r>
      <w:proofErr w:type="spellEnd"/>
      <w:r w:rsidR="00FF4A82">
        <w:rPr>
          <w:rFonts w:cs="Arial"/>
        </w:rPr>
        <w:t xml:space="preserve"> p</w:t>
      </w:r>
      <w:r w:rsidR="006935A6">
        <w:rPr>
          <w:rFonts w:cs="Arial"/>
        </w:rPr>
        <w:t>ostmillennialism expresses it the most comprehensively with the</w:t>
      </w:r>
      <w:r w:rsidR="00FF4A82">
        <w:rPr>
          <w:rFonts w:cs="Arial"/>
        </w:rPr>
        <w:t xml:space="preserve"> goal of establishing the Old Testament law</w:t>
      </w:r>
      <w:r w:rsidR="006935A6">
        <w:rPr>
          <w:rFonts w:cs="Arial"/>
        </w:rPr>
        <w:t>.</w:t>
      </w:r>
      <w:r w:rsidR="00FB2D57">
        <w:rPr>
          <w:rStyle w:val="FootnoteReference"/>
          <w:rFonts w:cs="Arial"/>
        </w:rPr>
        <w:footnoteReference w:id="59"/>
      </w:r>
    </w:p>
    <w:p w:rsidR="006935A6" w:rsidRDefault="00E408FD" w:rsidP="00AC6267">
      <w:pPr>
        <w:spacing w:line="480" w:lineRule="auto"/>
        <w:ind w:firstLine="432"/>
        <w:rPr>
          <w:rFonts w:cs="Arial"/>
        </w:rPr>
      </w:pPr>
      <w:proofErr w:type="spellStart"/>
      <w:r>
        <w:rPr>
          <w:rFonts w:cs="Arial"/>
        </w:rPr>
        <w:t>Amillennialism</w:t>
      </w:r>
      <w:proofErr w:type="spellEnd"/>
      <w:r>
        <w:rPr>
          <w:rFonts w:cs="Arial"/>
        </w:rPr>
        <w:t xml:space="preserve"> with its</w:t>
      </w:r>
      <w:r w:rsidR="006935A6">
        <w:rPr>
          <w:rFonts w:cs="Arial"/>
        </w:rPr>
        <w:t xml:space="preserve"> view of the depravity of humankind in the world has a less triumphant view than postmillennialism</w:t>
      </w:r>
      <w:r>
        <w:rPr>
          <w:rFonts w:cs="Arial"/>
        </w:rPr>
        <w:t>. The church faithfully witnesses to the grace of God in every sphere of life, but victory is something that will come in the Lord’s sovereign timing.  The church will not bring it itself.  The chu</w:t>
      </w:r>
      <w:r w:rsidR="00D25CB0">
        <w:rPr>
          <w:rFonts w:cs="Arial"/>
        </w:rPr>
        <w:t>rch a</w:t>
      </w:r>
      <w:r w:rsidR="00DF4A0C">
        <w:rPr>
          <w:rFonts w:cs="Arial"/>
        </w:rPr>
        <w:t xml:space="preserve">s </w:t>
      </w:r>
      <w:r>
        <w:rPr>
          <w:rFonts w:cs="Arial"/>
        </w:rPr>
        <w:t>a light in the world</w:t>
      </w:r>
      <w:r w:rsidR="00DF4A0C">
        <w:rPr>
          <w:rFonts w:cs="Arial"/>
        </w:rPr>
        <w:t xml:space="preserve"> balances a spiritual and social</w:t>
      </w:r>
      <w:r w:rsidR="00D25CB0">
        <w:rPr>
          <w:rFonts w:cs="Arial"/>
        </w:rPr>
        <w:t>/cultural</w:t>
      </w:r>
      <w:r w:rsidR="00DF4A0C">
        <w:rPr>
          <w:rFonts w:cs="Arial"/>
        </w:rPr>
        <w:t xml:space="preserve"> mission</w:t>
      </w:r>
      <w:r>
        <w:rPr>
          <w:rFonts w:cs="Arial"/>
        </w:rPr>
        <w:t>.</w:t>
      </w:r>
    </w:p>
    <w:p w:rsidR="00E408FD" w:rsidRDefault="00E408FD" w:rsidP="00AC6267">
      <w:pPr>
        <w:spacing w:line="480" w:lineRule="auto"/>
        <w:ind w:firstLine="432"/>
        <w:rPr>
          <w:rFonts w:cs="Arial"/>
        </w:rPr>
      </w:pPr>
      <w:proofErr w:type="spellStart"/>
      <w:r>
        <w:rPr>
          <w:rFonts w:cs="Arial"/>
        </w:rPr>
        <w:lastRenderedPageBreak/>
        <w:t>Premillennialism</w:t>
      </w:r>
      <w:proofErr w:type="spellEnd"/>
      <w:r>
        <w:rPr>
          <w:rFonts w:cs="Arial"/>
        </w:rPr>
        <w:t xml:space="preserve"> split</w:t>
      </w:r>
      <w:r w:rsidR="007D4FCC">
        <w:rPr>
          <w:rFonts w:cs="Arial"/>
        </w:rPr>
        <w:t>s</w:t>
      </w:r>
      <w:r>
        <w:rPr>
          <w:rFonts w:cs="Arial"/>
        </w:rPr>
        <w:t xml:space="preserve"> into two types of e</w:t>
      </w:r>
      <w:r w:rsidR="000F665D">
        <w:rPr>
          <w:rFonts w:cs="Arial"/>
        </w:rPr>
        <w:t>xpressions concerning the church’s mission</w:t>
      </w:r>
      <w:r>
        <w:rPr>
          <w:rFonts w:cs="Arial"/>
        </w:rPr>
        <w:t>.</w:t>
      </w:r>
      <w:r w:rsidR="00DF4A0C">
        <w:rPr>
          <w:rFonts w:cs="Arial"/>
        </w:rPr>
        <w:t xml:space="preserve">  Some </w:t>
      </w:r>
      <w:proofErr w:type="spellStart"/>
      <w:r w:rsidR="00DF4A0C">
        <w:rPr>
          <w:rFonts w:cs="Arial"/>
        </w:rPr>
        <w:t>premillennialists</w:t>
      </w:r>
      <w:proofErr w:type="spellEnd"/>
      <w:r w:rsidR="00DF4A0C">
        <w:rPr>
          <w:rFonts w:cs="Arial"/>
        </w:rPr>
        <w:t xml:space="preserve"> concentrate the church’s mission</w:t>
      </w:r>
      <w:r w:rsidR="000B5199">
        <w:rPr>
          <w:rFonts w:cs="Arial"/>
        </w:rPr>
        <w:t xml:space="preserve"> on the spiritual dimension</w:t>
      </w:r>
      <w:r w:rsidR="00DF4A0C">
        <w:rPr>
          <w:rFonts w:cs="Arial"/>
        </w:rPr>
        <w:t xml:space="preserve"> since social-political redemption comes with the establishment of the Messianic kingdom in the age to come.  The church </w:t>
      </w:r>
      <w:r w:rsidR="002E14E4">
        <w:rPr>
          <w:rFonts w:cs="Arial"/>
        </w:rPr>
        <w:t xml:space="preserve">now </w:t>
      </w:r>
      <w:r w:rsidR="00DF4A0C">
        <w:rPr>
          <w:rFonts w:cs="Arial"/>
        </w:rPr>
        <w:t>gives primary attention to evangelism and discipleship.</w:t>
      </w:r>
      <w:r w:rsidR="002E14E4">
        <w:rPr>
          <w:rFonts w:cs="Arial"/>
        </w:rPr>
        <w:t xml:space="preserve">  Humanitarian outreach can serve</w:t>
      </w:r>
      <w:r w:rsidR="00DF4A0C">
        <w:rPr>
          <w:rFonts w:cs="Arial"/>
        </w:rPr>
        <w:t xml:space="preserve"> an evangelistic goal through such efforts as medical missions, relief work, </w:t>
      </w:r>
      <w:r w:rsidR="00C909F6">
        <w:rPr>
          <w:rFonts w:cs="Arial"/>
        </w:rPr>
        <w:t>gospel missions for the homeless, and so on.  The church does not focus its mission on changing social-political structures.</w:t>
      </w:r>
      <w:r w:rsidR="00630CC9">
        <w:rPr>
          <w:rStyle w:val="FootnoteReference"/>
          <w:rFonts w:cs="Arial"/>
        </w:rPr>
        <w:footnoteReference w:id="60"/>
      </w:r>
      <w:r w:rsidR="007D4FCC">
        <w:rPr>
          <w:rFonts w:cs="Arial"/>
        </w:rPr>
        <w:t xml:space="preserve">  Classical and revised dispensationalists tend to fall in this expression.</w:t>
      </w:r>
    </w:p>
    <w:p w:rsidR="00C909F6" w:rsidRDefault="000B5199" w:rsidP="00AC6267">
      <w:pPr>
        <w:spacing w:line="480" w:lineRule="auto"/>
        <w:ind w:firstLine="432"/>
        <w:rPr>
          <w:rFonts w:cs="Arial"/>
        </w:rPr>
      </w:pPr>
      <w:r>
        <w:rPr>
          <w:rFonts w:cs="Arial"/>
        </w:rPr>
        <w:t xml:space="preserve">Other </w:t>
      </w:r>
      <w:proofErr w:type="spellStart"/>
      <w:r>
        <w:rPr>
          <w:rFonts w:cs="Arial"/>
        </w:rPr>
        <w:t>premillennialists</w:t>
      </w:r>
      <w:proofErr w:type="spellEnd"/>
      <w:r>
        <w:rPr>
          <w:rFonts w:cs="Arial"/>
        </w:rPr>
        <w:t xml:space="preserve"> understand the call of the church is to show the world how a redeeming perspective impacts relationships at every social, political, and religious level.  The church reflects this in the way she functions internally and in how she serves, engages and critiques the world.  This outlook is similar to that of the </w:t>
      </w:r>
      <w:proofErr w:type="spellStart"/>
      <w:r>
        <w:rPr>
          <w:rFonts w:cs="Arial"/>
        </w:rPr>
        <w:t>amillennialist</w:t>
      </w:r>
      <w:proofErr w:type="spellEnd"/>
      <w:r>
        <w:rPr>
          <w:rFonts w:cs="Arial"/>
        </w:rPr>
        <w:t xml:space="preserve"> in that the church does not bring about the victory but reflects the </w:t>
      </w:r>
      <w:r w:rsidR="007D4FCC">
        <w:rPr>
          <w:rFonts w:cs="Arial"/>
        </w:rPr>
        <w:t>“</w:t>
      </w:r>
      <w:r>
        <w:rPr>
          <w:rFonts w:cs="Arial"/>
        </w:rPr>
        <w:t>wholeness</w:t>
      </w:r>
      <w:r w:rsidR="007D4FCC">
        <w:rPr>
          <w:rFonts w:cs="Arial"/>
        </w:rPr>
        <w:t>”</w:t>
      </w:r>
      <w:r>
        <w:rPr>
          <w:rFonts w:cs="Arial"/>
        </w:rPr>
        <w:t xml:space="preserve"> of salvation in interaction with the larger culture.</w:t>
      </w:r>
      <w:r w:rsidR="00C909F6">
        <w:rPr>
          <w:rFonts w:cs="Arial"/>
        </w:rPr>
        <w:t xml:space="preserve"> </w:t>
      </w:r>
      <w:r w:rsidR="007D4FCC">
        <w:rPr>
          <w:rFonts w:cs="Arial"/>
        </w:rPr>
        <w:t xml:space="preserve"> Historic/covenant </w:t>
      </w:r>
      <w:proofErr w:type="spellStart"/>
      <w:r w:rsidR="007D4FCC">
        <w:rPr>
          <w:rFonts w:cs="Arial"/>
        </w:rPr>
        <w:t>premillennialists</w:t>
      </w:r>
      <w:proofErr w:type="spellEnd"/>
      <w:r w:rsidR="007D4FCC">
        <w:rPr>
          <w:rFonts w:cs="Arial"/>
        </w:rPr>
        <w:t xml:space="preserve"> and progressives dispensationalists tend to fall in this expression.</w:t>
      </w:r>
    </w:p>
    <w:p w:rsidR="000A2290" w:rsidRPr="00AC6267" w:rsidRDefault="00A82209" w:rsidP="00AC6267">
      <w:pPr>
        <w:spacing w:line="480" w:lineRule="auto"/>
        <w:ind w:firstLine="432"/>
        <w:rPr>
          <w:rFonts w:cs="Arial"/>
        </w:rPr>
      </w:pPr>
      <w:r>
        <w:rPr>
          <w:rFonts w:cs="Arial"/>
        </w:rPr>
        <w:t>Tony Evans</w:t>
      </w:r>
      <w:r w:rsidR="007D4FCC">
        <w:rPr>
          <w:rFonts w:cs="Arial"/>
        </w:rPr>
        <w:t xml:space="preserve"> provides a “covenantal and progressive dispensationalist” model</w:t>
      </w:r>
      <w:r w:rsidR="008C72C4">
        <w:rPr>
          <w:rFonts w:cs="Arial"/>
        </w:rPr>
        <w:t xml:space="preserve"> for a kingdom agenda.</w:t>
      </w:r>
      <w:r w:rsidR="008C72C4">
        <w:rPr>
          <w:rStyle w:val="FootnoteReference"/>
          <w:rFonts w:cs="Arial"/>
        </w:rPr>
        <w:footnoteReference w:id="61"/>
      </w:r>
      <w:r w:rsidR="008C72C4">
        <w:rPr>
          <w:rFonts w:cs="Arial"/>
        </w:rPr>
        <w:t xml:space="preserve"> He writes that “It is time for Christians to set forth a kingdom agenda!”</w:t>
      </w:r>
      <w:r w:rsidR="008C72C4">
        <w:rPr>
          <w:rStyle w:val="FootnoteReference"/>
          <w:rFonts w:cs="Arial"/>
        </w:rPr>
        <w:footnoteReference w:id="62"/>
      </w:r>
      <w:r w:rsidR="008C72C4">
        <w:rPr>
          <w:rFonts w:cs="Arial"/>
        </w:rPr>
        <w:t xml:space="preserve">  Such an agenda should be big enough to include both individual and societal structures.  He provides this definition: “The kingdom agenda, then, may be defined as the visible demonstration of the </w:t>
      </w:r>
      <w:r w:rsidR="008C72C4">
        <w:rPr>
          <w:rFonts w:cs="Arial"/>
        </w:rPr>
        <w:lastRenderedPageBreak/>
        <w:t>comprehensive rule of God over every area of life.”</w:t>
      </w:r>
      <w:r w:rsidR="008C72C4">
        <w:rPr>
          <w:rStyle w:val="FootnoteReference"/>
          <w:rFonts w:cs="Arial"/>
        </w:rPr>
        <w:footnoteReference w:id="63"/>
      </w:r>
      <w:r w:rsidR="00921C4A">
        <w:rPr>
          <w:rFonts w:cs="Arial"/>
        </w:rPr>
        <w:t xml:space="preserve">  He explains: “In this age, the church is the primary manifestation of the kingdom, and it is the primary means by which God is extending His kingdom rule in this world.”</w:t>
      </w:r>
      <w:r w:rsidR="00921C4A">
        <w:rPr>
          <w:rStyle w:val="FootnoteReference"/>
          <w:rFonts w:cs="Arial"/>
        </w:rPr>
        <w:footnoteReference w:id="64"/>
      </w:r>
      <w:r w:rsidR="00921C4A">
        <w:rPr>
          <w:rFonts w:cs="Arial"/>
        </w:rPr>
        <w:t xml:space="preserve">  The church manifests the kingdom’s presence.  As such “it is crucial for the church to function as the epicenter of community life.”</w:t>
      </w:r>
      <w:r w:rsidR="00921C4A">
        <w:rPr>
          <w:rStyle w:val="FootnoteReference"/>
          <w:rFonts w:cs="Arial"/>
        </w:rPr>
        <w:footnoteReference w:id="65"/>
      </w:r>
      <w:r w:rsidR="00921C4A">
        <w:rPr>
          <w:rFonts w:cs="Arial"/>
        </w:rPr>
        <w:t xml:space="preserve">  He </w:t>
      </w:r>
      <w:r w:rsidR="00DD4E75">
        <w:rPr>
          <w:rFonts w:cs="Arial"/>
        </w:rPr>
        <w:t>exclaims</w:t>
      </w:r>
      <w:r w:rsidR="00921C4A">
        <w:rPr>
          <w:rFonts w:cs="Arial"/>
        </w:rPr>
        <w:t>: “God wants the world to see the previews of His coming attraction.”</w:t>
      </w:r>
      <w:r w:rsidR="00921C4A">
        <w:rPr>
          <w:rStyle w:val="FootnoteReference"/>
          <w:rFonts w:cs="Arial"/>
        </w:rPr>
        <w:footnoteReference w:id="66"/>
      </w:r>
    </w:p>
    <w:p w:rsidR="001C0F95" w:rsidRDefault="001C0F95" w:rsidP="001C0F95">
      <w:pPr>
        <w:pStyle w:val="ListParagraph"/>
        <w:numPr>
          <w:ilvl w:val="0"/>
          <w:numId w:val="9"/>
        </w:numPr>
        <w:spacing w:line="480" w:lineRule="auto"/>
        <w:ind w:left="360"/>
        <w:rPr>
          <w:rFonts w:cs="Arial"/>
          <w:b/>
        </w:rPr>
      </w:pPr>
      <w:r>
        <w:rPr>
          <w:rFonts w:cs="Arial"/>
          <w:b/>
        </w:rPr>
        <w:t>ISRAEL</w:t>
      </w:r>
    </w:p>
    <w:p w:rsidR="000E55D2" w:rsidRDefault="000E55D2" w:rsidP="00772DAD">
      <w:pPr>
        <w:spacing w:line="480" w:lineRule="auto"/>
        <w:ind w:firstLine="432"/>
        <w:rPr>
          <w:rFonts w:cs="Arial"/>
        </w:rPr>
      </w:pPr>
      <w:r>
        <w:rPr>
          <w:rFonts w:cs="Arial"/>
        </w:rPr>
        <w:t>The matter of the future of the land and people of Israel is a point of disagreement</w:t>
      </w:r>
      <w:r w:rsidR="00F70468">
        <w:rPr>
          <w:rFonts w:cs="Arial"/>
        </w:rPr>
        <w:t xml:space="preserve"> among the kingdom views</w:t>
      </w:r>
      <w:r>
        <w:rPr>
          <w:rFonts w:cs="Arial"/>
        </w:rPr>
        <w:t>.  Some see a national, political future for Israel and some don’t.</w:t>
      </w:r>
      <w:r w:rsidR="00871A0E">
        <w:rPr>
          <w:rStyle w:val="FootnoteReference"/>
          <w:rFonts w:cs="Arial"/>
        </w:rPr>
        <w:footnoteReference w:id="67"/>
      </w:r>
    </w:p>
    <w:p w:rsidR="00772DAD" w:rsidRDefault="00A27F55" w:rsidP="00772DAD">
      <w:pPr>
        <w:spacing w:line="480" w:lineRule="auto"/>
        <w:ind w:firstLine="432"/>
        <w:rPr>
          <w:rFonts w:cs="Arial"/>
        </w:rPr>
      </w:pPr>
      <w:r>
        <w:rPr>
          <w:rFonts w:cs="Arial"/>
        </w:rPr>
        <w:t>Classical and revised dispensationalists teach</w:t>
      </w:r>
      <w:r w:rsidR="00FC5351">
        <w:rPr>
          <w:rFonts w:cs="Arial"/>
        </w:rPr>
        <w:t xml:space="preserve"> </w:t>
      </w:r>
      <w:r w:rsidR="004B7ADD">
        <w:rPr>
          <w:rFonts w:cs="Arial"/>
        </w:rPr>
        <w:t xml:space="preserve">that there is a </w:t>
      </w:r>
      <w:r>
        <w:rPr>
          <w:rFonts w:cs="Arial"/>
        </w:rPr>
        <w:t xml:space="preserve">clear </w:t>
      </w:r>
      <w:r w:rsidR="004B7ADD">
        <w:rPr>
          <w:rFonts w:cs="Arial"/>
        </w:rPr>
        <w:t xml:space="preserve">distinction between Israel and the church and that there is a place for both in God’s future plans.  </w:t>
      </w:r>
      <w:r>
        <w:rPr>
          <w:rFonts w:cs="Arial"/>
        </w:rPr>
        <w:t>Progressives see more continuity between Israel and the church but still preserve key distinctions.  D</w:t>
      </w:r>
      <w:r w:rsidR="00F04D55">
        <w:rPr>
          <w:rFonts w:cs="Arial"/>
        </w:rPr>
        <w:t xml:space="preserve">ispensationalists </w:t>
      </w:r>
      <w:r w:rsidR="00172622">
        <w:rPr>
          <w:rFonts w:cs="Arial"/>
        </w:rPr>
        <w:t xml:space="preserve">of all types </w:t>
      </w:r>
      <w:r>
        <w:rPr>
          <w:rFonts w:cs="Arial"/>
        </w:rPr>
        <w:t>tend to be</w:t>
      </w:r>
      <w:r w:rsidR="00F04D55">
        <w:rPr>
          <w:rFonts w:cs="Arial"/>
        </w:rPr>
        <w:t xml:space="preserve"> supportive of the modern state of Israel.</w:t>
      </w:r>
    </w:p>
    <w:p w:rsidR="0022510D" w:rsidRPr="00772DAD" w:rsidRDefault="00F04D55" w:rsidP="00772DAD">
      <w:pPr>
        <w:spacing w:line="480" w:lineRule="auto"/>
        <w:ind w:firstLine="432"/>
        <w:rPr>
          <w:rFonts w:cs="Arial"/>
        </w:rPr>
      </w:pPr>
      <w:proofErr w:type="spellStart"/>
      <w:r>
        <w:rPr>
          <w:rFonts w:cs="Arial"/>
        </w:rPr>
        <w:t>Amillennialists</w:t>
      </w:r>
      <w:proofErr w:type="spellEnd"/>
      <w:r>
        <w:rPr>
          <w:rFonts w:cs="Arial"/>
        </w:rPr>
        <w:t xml:space="preserve"> and postmillennialists understand that the church is spiritual Israel and that ethnic Israel has forfeited the land and national promises of God in the Old Testament.  </w:t>
      </w:r>
      <w:r w:rsidR="004B7ADD">
        <w:rPr>
          <w:rFonts w:cs="Arial"/>
        </w:rPr>
        <w:t xml:space="preserve">The church has replaced or superseded Israel in God’s future plans.  </w:t>
      </w:r>
      <w:r w:rsidR="00FC286D">
        <w:rPr>
          <w:rFonts w:cs="Arial"/>
        </w:rPr>
        <w:t xml:space="preserve">The </w:t>
      </w:r>
      <w:r w:rsidR="00F70468">
        <w:rPr>
          <w:rFonts w:cs="Arial"/>
        </w:rPr>
        <w:t xml:space="preserve">modern nation of Israel has no more significance in God’s kingdom plan than any other nation.  </w:t>
      </w:r>
      <w:r w:rsidR="0019227B">
        <w:rPr>
          <w:rFonts w:cs="Arial"/>
        </w:rPr>
        <w:t>Some</w:t>
      </w:r>
      <w:r>
        <w:rPr>
          <w:rFonts w:cs="Arial"/>
        </w:rPr>
        <w:t xml:space="preserve"> </w:t>
      </w:r>
      <w:r w:rsidR="0019227B">
        <w:rPr>
          <w:rFonts w:cs="Arial"/>
        </w:rPr>
        <w:t xml:space="preserve">current </w:t>
      </w:r>
      <w:r>
        <w:rPr>
          <w:rFonts w:cs="Arial"/>
        </w:rPr>
        <w:t xml:space="preserve">evangelical authors are openly anti-Israel.  Mitch Glaser of Chosen People Ministries has recently written </w:t>
      </w:r>
      <w:r>
        <w:rPr>
          <w:rFonts w:cs="Arial"/>
        </w:rPr>
        <w:lastRenderedPageBreak/>
        <w:t>that he is greatly concerned “that the Church is becoming so pro-Palestinian that it is turning anti-Israel!”</w:t>
      </w:r>
      <w:r>
        <w:rPr>
          <w:rStyle w:val="FootnoteReference"/>
          <w:rFonts w:cs="Arial"/>
        </w:rPr>
        <w:footnoteReference w:id="68"/>
      </w:r>
    </w:p>
    <w:p w:rsidR="001C0F95" w:rsidRDefault="001C0F95" w:rsidP="001C0F95">
      <w:pPr>
        <w:pStyle w:val="ListParagraph"/>
        <w:numPr>
          <w:ilvl w:val="0"/>
          <w:numId w:val="9"/>
        </w:numPr>
        <w:spacing w:line="480" w:lineRule="auto"/>
        <w:ind w:left="360"/>
        <w:rPr>
          <w:rFonts w:cs="Arial"/>
          <w:b/>
        </w:rPr>
      </w:pPr>
      <w:r>
        <w:rPr>
          <w:rFonts w:cs="Arial"/>
          <w:b/>
        </w:rPr>
        <w:t>A BELIEVER’S HOPE</w:t>
      </w:r>
    </w:p>
    <w:p w:rsidR="0077269E" w:rsidRPr="0022510D" w:rsidRDefault="00815EED" w:rsidP="0022510D">
      <w:pPr>
        <w:spacing w:line="480" w:lineRule="auto"/>
        <w:ind w:firstLine="432"/>
        <w:rPr>
          <w:rFonts w:cs="Arial"/>
        </w:rPr>
      </w:pPr>
      <w:r>
        <w:rPr>
          <w:rFonts w:cs="Arial"/>
        </w:rPr>
        <w:t>A believer’s view of the kingdom affects the content of his hope.</w:t>
      </w:r>
      <w:r w:rsidR="003D6E5F">
        <w:rPr>
          <w:rFonts w:cs="Arial"/>
        </w:rPr>
        <w:t xml:space="preserve">  Does he center his hope </w:t>
      </w:r>
      <w:r w:rsidR="00A27F55">
        <w:rPr>
          <w:rFonts w:cs="Arial"/>
        </w:rPr>
        <w:t>on</w:t>
      </w:r>
      <w:r w:rsidR="00DE249B">
        <w:rPr>
          <w:rFonts w:cs="Arial"/>
        </w:rPr>
        <w:t xml:space="preserve"> this world</w:t>
      </w:r>
      <w:r w:rsidR="003D6E5F">
        <w:rPr>
          <w:rFonts w:cs="Arial"/>
        </w:rPr>
        <w:t xml:space="preserve"> </w:t>
      </w:r>
      <w:r w:rsidR="00A27F55">
        <w:rPr>
          <w:rFonts w:cs="Arial"/>
        </w:rPr>
        <w:t xml:space="preserve">becoming </w:t>
      </w:r>
      <w:r w:rsidR="003D6E5F">
        <w:rPr>
          <w:rFonts w:cs="Arial"/>
        </w:rPr>
        <w:t xml:space="preserve">a better place or </w:t>
      </w:r>
      <w:r w:rsidR="00A27F55">
        <w:rPr>
          <w:rFonts w:cs="Arial"/>
        </w:rPr>
        <w:t xml:space="preserve">does he </w:t>
      </w:r>
      <w:r w:rsidR="00DE249B">
        <w:rPr>
          <w:rFonts w:cs="Arial"/>
        </w:rPr>
        <w:t>center his hope on</w:t>
      </w:r>
      <w:r w:rsidR="003D6E5F">
        <w:rPr>
          <w:rFonts w:cs="Arial"/>
        </w:rPr>
        <w:t xml:space="preserve"> the coming of the Messiah </w:t>
      </w:r>
      <w:r w:rsidR="00A27F55">
        <w:rPr>
          <w:rFonts w:cs="Arial"/>
        </w:rPr>
        <w:t>and the reward he will receive in His kingdom for his faithfulness in this age</w:t>
      </w:r>
      <w:r w:rsidR="00DE249B">
        <w:rPr>
          <w:rFonts w:cs="Arial"/>
        </w:rPr>
        <w:t>?</w:t>
      </w:r>
      <w:r w:rsidR="003D6E5F">
        <w:rPr>
          <w:rFonts w:cs="Arial"/>
        </w:rPr>
        <w:t xml:space="preserve">  The </w:t>
      </w:r>
      <w:proofErr w:type="spellStart"/>
      <w:r w:rsidR="003D6E5F">
        <w:rPr>
          <w:rFonts w:cs="Arial"/>
        </w:rPr>
        <w:t>amillennial</w:t>
      </w:r>
      <w:proofErr w:type="spellEnd"/>
      <w:r w:rsidR="003D6E5F">
        <w:rPr>
          <w:rFonts w:cs="Arial"/>
        </w:rPr>
        <w:t xml:space="preserve"> hope is </w:t>
      </w:r>
      <w:r w:rsidR="003159E9">
        <w:rPr>
          <w:rFonts w:cs="Arial"/>
        </w:rPr>
        <w:t xml:space="preserve">that of a presently realized kingdom that struggles with evil until the Second Coming and the beginning of the eternal state.  The postmillennial hope is that of the church establishing the kingdom prior to the return of the Messiah.  The </w:t>
      </w:r>
      <w:proofErr w:type="spellStart"/>
      <w:r w:rsidR="003159E9">
        <w:rPr>
          <w:rFonts w:cs="Arial"/>
        </w:rPr>
        <w:t>premillennial</w:t>
      </w:r>
      <w:proofErr w:type="spellEnd"/>
      <w:r w:rsidR="003159E9">
        <w:rPr>
          <w:rFonts w:cs="Arial"/>
        </w:rPr>
        <w:t xml:space="preserve"> hope spl</w:t>
      </w:r>
      <w:r w:rsidR="00D7112F">
        <w:rPr>
          <w:rFonts w:cs="Arial"/>
        </w:rPr>
        <w:t>its into two types</w:t>
      </w:r>
      <w:r w:rsidR="003159E9">
        <w:rPr>
          <w:rFonts w:cs="Arial"/>
        </w:rPr>
        <w:t>.</w:t>
      </w:r>
      <w:r w:rsidR="00D7112F">
        <w:rPr>
          <w:rFonts w:cs="Arial"/>
        </w:rPr>
        <w:t xml:space="preserve">  The first type</w:t>
      </w:r>
      <w:r w:rsidR="00F62884">
        <w:rPr>
          <w:rFonts w:cs="Arial"/>
        </w:rPr>
        <w:t xml:space="preserve"> flows from</w:t>
      </w:r>
      <w:r w:rsidR="00DE249B">
        <w:rPr>
          <w:rFonts w:cs="Arial"/>
        </w:rPr>
        <w:t xml:space="preserve"> the “already/not yet” view of the kingdom which gives the church a greater responsibility to affect the social/political structures of this world</w:t>
      </w:r>
      <w:r w:rsidR="00D7112F">
        <w:rPr>
          <w:rFonts w:cs="Arial"/>
        </w:rPr>
        <w:t xml:space="preserve"> an</w:t>
      </w:r>
      <w:r w:rsidR="00F62884">
        <w:rPr>
          <w:rFonts w:cs="Arial"/>
        </w:rPr>
        <w:t xml:space="preserve">d directs </w:t>
      </w:r>
      <w:r w:rsidR="00D7112F">
        <w:rPr>
          <w:rFonts w:cs="Arial"/>
        </w:rPr>
        <w:t>hope a little more to the matters of this age</w:t>
      </w:r>
      <w:r w:rsidR="00DE249B">
        <w:rPr>
          <w:rFonts w:cs="Arial"/>
        </w:rPr>
        <w:t xml:space="preserve">.  The second </w:t>
      </w:r>
      <w:r w:rsidR="00F62884">
        <w:rPr>
          <w:rFonts w:cs="Arial"/>
        </w:rPr>
        <w:t>flows from</w:t>
      </w:r>
      <w:r w:rsidR="00DE249B">
        <w:rPr>
          <w:rFonts w:cs="Arial"/>
        </w:rPr>
        <w:t xml:space="preserve"> the “not yet” view of the kingdom which </w:t>
      </w:r>
      <w:r w:rsidR="00D7112F">
        <w:rPr>
          <w:rFonts w:cs="Arial"/>
        </w:rPr>
        <w:t>tends to emphasize to a greater degree</w:t>
      </w:r>
      <w:r w:rsidR="00DE249B">
        <w:rPr>
          <w:rFonts w:cs="Arial"/>
        </w:rPr>
        <w:t xml:space="preserve"> the </w:t>
      </w:r>
      <w:r w:rsidR="00545DCD">
        <w:rPr>
          <w:rFonts w:cs="Arial"/>
        </w:rPr>
        <w:t xml:space="preserve">spiritual mission </w:t>
      </w:r>
      <w:r w:rsidR="00DE249B">
        <w:rPr>
          <w:rFonts w:cs="Arial"/>
        </w:rPr>
        <w:t>of the church</w:t>
      </w:r>
      <w:r w:rsidR="00D7112F">
        <w:rPr>
          <w:rFonts w:cs="Arial"/>
        </w:rPr>
        <w:t xml:space="preserve"> over a social/cultural mission</w:t>
      </w:r>
      <w:r w:rsidR="00F62884">
        <w:rPr>
          <w:rFonts w:cs="Arial"/>
        </w:rPr>
        <w:t xml:space="preserve"> and directs </w:t>
      </w:r>
      <w:r w:rsidR="00D7112F">
        <w:rPr>
          <w:rFonts w:cs="Arial"/>
        </w:rPr>
        <w:t>hope a little more to the coming age.</w:t>
      </w:r>
    </w:p>
    <w:p w:rsidR="001C0F95" w:rsidRPr="001C0F95" w:rsidRDefault="001C0F95" w:rsidP="001C0F95">
      <w:pPr>
        <w:pStyle w:val="ListParagraph"/>
        <w:spacing w:line="480" w:lineRule="auto"/>
        <w:ind w:left="0"/>
        <w:jc w:val="center"/>
        <w:rPr>
          <w:rFonts w:cs="Arial"/>
          <w:b/>
        </w:rPr>
      </w:pPr>
      <w:r>
        <w:rPr>
          <w:rFonts w:cs="Arial"/>
          <w:b/>
        </w:rPr>
        <w:t>IV</w:t>
      </w:r>
      <w:proofErr w:type="gramStart"/>
      <w:r>
        <w:rPr>
          <w:rFonts w:cs="Arial"/>
          <w:b/>
        </w:rPr>
        <w:t xml:space="preserve">.  </w:t>
      </w:r>
      <w:r>
        <w:rPr>
          <w:rFonts w:cs="Arial"/>
          <w:b/>
          <w:sz w:val="28"/>
          <w:szCs w:val="28"/>
        </w:rPr>
        <w:t>CONCLUSION</w:t>
      </w:r>
      <w:proofErr w:type="gramEnd"/>
    </w:p>
    <w:p w:rsidR="006602DE" w:rsidRDefault="00545DCD" w:rsidP="00545DCD">
      <w:pPr>
        <w:spacing w:line="480" w:lineRule="auto"/>
        <w:ind w:firstLine="432"/>
        <w:rPr>
          <w:rFonts w:cs="Arial"/>
        </w:rPr>
      </w:pPr>
      <w:r>
        <w:rPr>
          <w:rFonts w:cs="Arial"/>
        </w:rPr>
        <w:t xml:space="preserve">What we believe about the when and the how of the </w:t>
      </w:r>
      <w:r w:rsidR="00956CBB">
        <w:rPr>
          <w:rFonts w:cs="Arial"/>
        </w:rPr>
        <w:t xml:space="preserve">Messianic </w:t>
      </w:r>
      <w:r>
        <w:rPr>
          <w:rFonts w:cs="Arial"/>
        </w:rPr>
        <w:t xml:space="preserve">kingdom matters since it affects our view of the mission of the church, our view of God’s plan for ethnic and national Israel, and </w:t>
      </w:r>
      <w:r w:rsidR="00DD4E75">
        <w:rPr>
          <w:rFonts w:cs="Arial"/>
        </w:rPr>
        <w:t xml:space="preserve">the content of </w:t>
      </w:r>
      <w:r>
        <w:rPr>
          <w:rFonts w:cs="Arial"/>
        </w:rPr>
        <w:t xml:space="preserve">our hope.  Depending on our kingdom view we </w:t>
      </w:r>
      <w:r w:rsidR="00DD4E75">
        <w:rPr>
          <w:rFonts w:cs="Arial"/>
        </w:rPr>
        <w:t>may have</w:t>
      </w:r>
      <w:r>
        <w:rPr>
          <w:rFonts w:cs="Arial"/>
        </w:rPr>
        <w:t xml:space="preserve"> the church undertake a greater or lesser role in transforming social and political structures.  Depending on our kingdom view we may express </w:t>
      </w:r>
      <w:r w:rsidR="00D77D5F">
        <w:rPr>
          <w:rFonts w:cs="Arial"/>
        </w:rPr>
        <w:t xml:space="preserve">a </w:t>
      </w:r>
      <w:r>
        <w:rPr>
          <w:rFonts w:cs="Arial"/>
        </w:rPr>
        <w:t xml:space="preserve">greater or lesser support for </w:t>
      </w:r>
      <w:r w:rsidR="002C7FEC">
        <w:rPr>
          <w:rFonts w:cs="Arial"/>
        </w:rPr>
        <w:t>the nation of Israel.  Depe</w:t>
      </w:r>
      <w:r w:rsidR="00D7112F">
        <w:rPr>
          <w:rFonts w:cs="Arial"/>
        </w:rPr>
        <w:t>nding on our kingdom view we may</w:t>
      </w:r>
      <w:r w:rsidR="002C7FEC">
        <w:rPr>
          <w:rFonts w:cs="Arial"/>
        </w:rPr>
        <w:t xml:space="preserve"> have a hope that is centered to a greater or lesser extent on this </w:t>
      </w:r>
      <w:r w:rsidR="00DD4E75">
        <w:rPr>
          <w:rFonts w:cs="Arial"/>
        </w:rPr>
        <w:t xml:space="preserve">present </w:t>
      </w:r>
      <w:r w:rsidR="002C7FEC">
        <w:rPr>
          <w:rFonts w:cs="Arial"/>
        </w:rPr>
        <w:t>world</w:t>
      </w:r>
      <w:r w:rsidR="0077269E">
        <w:rPr>
          <w:rFonts w:cs="Arial"/>
        </w:rPr>
        <w:t xml:space="preserve"> or on the</w:t>
      </w:r>
      <w:r w:rsidR="00956CBB">
        <w:rPr>
          <w:rFonts w:cs="Arial"/>
        </w:rPr>
        <w:t xml:space="preserve"> coming Messianic age</w:t>
      </w:r>
      <w:r w:rsidR="002C7FEC">
        <w:rPr>
          <w:rFonts w:cs="Arial"/>
        </w:rPr>
        <w:t>.  Our view of the kingdom matters.</w:t>
      </w:r>
    </w:p>
    <w:p w:rsidR="0077269E" w:rsidRPr="00815EED" w:rsidRDefault="0077269E" w:rsidP="0077269E">
      <w:pPr>
        <w:spacing w:line="480" w:lineRule="auto"/>
        <w:ind w:firstLine="432"/>
        <w:rPr>
          <w:rFonts w:cs="Arial"/>
        </w:rPr>
      </w:pPr>
      <w:r>
        <w:rPr>
          <w:rFonts w:cs="Arial"/>
        </w:rPr>
        <w:lastRenderedPageBreak/>
        <w:t xml:space="preserve">One of the main issues that Joseph C. </w:t>
      </w:r>
      <w:proofErr w:type="spellStart"/>
      <w:r>
        <w:rPr>
          <w:rFonts w:cs="Arial"/>
        </w:rPr>
        <w:t>Dillow</w:t>
      </w:r>
      <w:proofErr w:type="spellEnd"/>
      <w:r>
        <w:rPr>
          <w:rFonts w:cs="Arial"/>
        </w:rPr>
        <w:t xml:space="preserve"> addresses in the book </w:t>
      </w:r>
      <w:r w:rsidRPr="00ED0A4F">
        <w:rPr>
          <w:rFonts w:cs="Arial"/>
          <w:i/>
        </w:rPr>
        <w:t>The Reign of the Servant Kings</w:t>
      </w:r>
      <w:r>
        <w:rPr>
          <w:rFonts w:cs="Arial"/>
        </w:rPr>
        <w:t xml:space="preserve"> is the final significance of man.  That significance is the fulfillment of the hope of becoming partakers with David’s Greater Son in His kingdom reign.  </w:t>
      </w:r>
      <w:proofErr w:type="spellStart"/>
      <w:r>
        <w:rPr>
          <w:rFonts w:cs="Arial"/>
        </w:rPr>
        <w:t>Dillow</w:t>
      </w:r>
      <w:proofErr w:type="spellEnd"/>
      <w:r>
        <w:rPr>
          <w:rFonts w:cs="Arial"/>
        </w:rPr>
        <w:t xml:space="preserve"> concludes, “That great future must constantly be set before the vision of all who name the Lord Jesus as their King.  We should daily be evaluating our lives, our priorities, and our hearts in view of how we will feel about our decisions ten thousand years from now.</w:t>
      </w:r>
      <w:r w:rsidR="0092385A">
        <w:rPr>
          <w:rFonts w:cs="Arial"/>
        </w:rPr>
        <w:t>”</w:t>
      </w:r>
      <w:r w:rsidR="0092385A">
        <w:rPr>
          <w:rStyle w:val="FootnoteReference"/>
          <w:rFonts w:cs="Arial"/>
        </w:rPr>
        <w:footnoteReference w:id="69"/>
      </w:r>
    </w:p>
    <w:p w:rsidR="00F760EA" w:rsidRPr="001C0F95" w:rsidRDefault="00F760EA" w:rsidP="007C39ED">
      <w:pPr>
        <w:rPr>
          <w:rFonts w:cs="Arial"/>
        </w:rPr>
      </w:pPr>
    </w:p>
    <w:sectPr w:rsidR="00F760EA" w:rsidRPr="001C0F95" w:rsidSect="00315DF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27D5A" w:rsidRDefault="00C27D5A" w:rsidP="00105014">
      <w:r>
        <w:separator/>
      </w:r>
    </w:p>
  </w:endnote>
  <w:endnote w:type="continuationSeparator" w:id="0">
    <w:p w:rsidR="00C27D5A" w:rsidRDefault="00C27D5A" w:rsidP="001050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27D5A" w:rsidRDefault="00C27D5A" w:rsidP="00105014">
      <w:r>
        <w:separator/>
      </w:r>
    </w:p>
  </w:footnote>
  <w:footnote w:type="continuationSeparator" w:id="0">
    <w:p w:rsidR="00C27D5A" w:rsidRDefault="00C27D5A" w:rsidP="00105014">
      <w:r>
        <w:continuationSeparator/>
      </w:r>
    </w:p>
  </w:footnote>
  <w:footnote w:id="1">
    <w:p w:rsidR="00015BDB" w:rsidRDefault="00015BDB">
      <w:pPr>
        <w:pStyle w:val="FootnoteText"/>
      </w:pPr>
      <w:r>
        <w:rPr>
          <w:rStyle w:val="FootnoteReference"/>
        </w:rPr>
        <w:footnoteRef/>
      </w:r>
      <w:r>
        <w:t xml:space="preserve"> </w:t>
      </w:r>
      <w:r w:rsidR="008C7D00">
        <w:t xml:space="preserve">See </w:t>
      </w:r>
      <w:r>
        <w:t>C</w:t>
      </w:r>
      <w:r w:rsidR="008C7D00">
        <w:t>harles Harold</w:t>
      </w:r>
      <w:r>
        <w:t xml:space="preserve"> Dodd, </w:t>
      </w:r>
      <w:r w:rsidRPr="00911978">
        <w:rPr>
          <w:i/>
        </w:rPr>
        <w:t>The Parables of the Kingdom</w:t>
      </w:r>
      <w:r w:rsidR="008C7D00">
        <w:t xml:space="preserve"> (London: </w:t>
      </w:r>
      <w:proofErr w:type="spellStart"/>
      <w:r w:rsidR="008C7D00">
        <w:t>Nisbet</w:t>
      </w:r>
      <w:proofErr w:type="spellEnd"/>
      <w:r w:rsidR="008C7D00">
        <w:t>, 1935</w:t>
      </w:r>
      <w:r>
        <w:t>).</w:t>
      </w:r>
    </w:p>
    <w:p w:rsidR="00F40FF9" w:rsidRDefault="00F40FF9">
      <w:pPr>
        <w:pStyle w:val="FootnoteText"/>
      </w:pPr>
    </w:p>
  </w:footnote>
  <w:footnote w:id="2">
    <w:p w:rsidR="00015BDB" w:rsidRPr="006023FB" w:rsidRDefault="00015BDB" w:rsidP="008C7D00">
      <w:pPr>
        <w:autoSpaceDE w:val="0"/>
        <w:autoSpaceDN w:val="0"/>
        <w:adjustRightInd w:val="0"/>
        <w:rPr>
          <w:rFonts w:eastAsiaTheme="minorHAnsi"/>
        </w:rPr>
      </w:pPr>
      <w:r w:rsidRPr="008C7D00">
        <w:rPr>
          <w:rStyle w:val="FootnoteReference"/>
          <w:sz w:val="20"/>
          <w:szCs w:val="20"/>
        </w:rPr>
        <w:footnoteRef/>
      </w:r>
      <w:r w:rsidRPr="008C7D00">
        <w:rPr>
          <w:sz w:val="20"/>
          <w:szCs w:val="20"/>
        </w:rPr>
        <w:t xml:space="preserve"> </w:t>
      </w:r>
      <w:r w:rsidR="008C7D00" w:rsidRPr="008C7D00">
        <w:rPr>
          <w:sz w:val="20"/>
          <w:szCs w:val="20"/>
        </w:rPr>
        <w:t>See</w:t>
      </w:r>
      <w:r w:rsidR="008C7D00">
        <w:rPr>
          <w:sz w:val="20"/>
          <w:szCs w:val="20"/>
        </w:rPr>
        <w:t xml:space="preserve"> </w:t>
      </w:r>
      <w:proofErr w:type="spellStart"/>
      <w:r w:rsidRPr="006023FB">
        <w:rPr>
          <w:sz w:val="20"/>
          <w:szCs w:val="20"/>
        </w:rPr>
        <w:t>G</w:t>
      </w:r>
      <w:r w:rsidRPr="006023FB">
        <w:rPr>
          <w:rFonts w:eastAsiaTheme="minorHAnsi"/>
          <w:sz w:val="20"/>
          <w:szCs w:val="20"/>
        </w:rPr>
        <w:t>eerhardus</w:t>
      </w:r>
      <w:proofErr w:type="spellEnd"/>
      <w:r w:rsidRPr="006023FB">
        <w:rPr>
          <w:rFonts w:eastAsiaTheme="minorHAnsi"/>
          <w:sz w:val="20"/>
          <w:szCs w:val="20"/>
        </w:rPr>
        <w:t xml:space="preserve"> </w:t>
      </w:r>
      <w:proofErr w:type="spellStart"/>
      <w:r w:rsidRPr="006023FB">
        <w:rPr>
          <w:rFonts w:eastAsiaTheme="minorHAnsi"/>
          <w:sz w:val="20"/>
          <w:szCs w:val="20"/>
        </w:rPr>
        <w:t>Vos</w:t>
      </w:r>
      <w:proofErr w:type="spellEnd"/>
      <w:r w:rsidRPr="006023FB">
        <w:rPr>
          <w:rFonts w:eastAsiaTheme="minorHAnsi"/>
          <w:sz w:val="20"/>
          <w:szCs w:val="20"/>
        </w:rPr>
        <w:t xml:space="preserve">, </w:t>
      </w:r>
      <w:proofErr w:type="gramStart"/>
      <w:r w:rsidRPr="006023FB">
        <w:rPr>
          <w:rFonts w:eastAsiaTheme="minorHAnsi"/>
          <w:i/>
          <w:iCs/>
          <w:sz w:val="20"/>
          <w:szCs w:val="20"/>
        </w:rPr>
        <w:t>The</w:t>
      </w:r>
      <w:proofErr w:type="gramEnd"/>
      <w:r w:rsidRPr="006023FB">
        <w:rPr>
          <w:rFonts w:eastAsiaTheme="minorHAnsi"/>
          <w:i/>
          <w:iCs/>
          <w:sz w:val="20"/>
          <w:szCs w:val="20"/>
        </w:rPr>
        <w:t xml:space="preserve"> Pauline Eschatology </w:t>
      </w:r>
      <w:r w:rsidRPr="00AC1D85">
        <w:rPr>
          <w:rFonts w:eastAsiaTheme="minorHAnsi"/>
          <w:iCs/>
          <w:sz w:val="20"/>
          <w:szCs w:val="20"/>
        </w:rPr>
        <w:t>(</w:t>
      </w:r>
      <w:r w:rsidR="008C7D00">
        <w:rPr>
          <w:rFonts w:eastAsiaTheme="minorHAnsi"/>
          <w:sz w:val="20"/>
          <w:szCs w:val="20"/>
        </w:rPr>
        <w:t>Princeton University Press,</w:t>
      </w:r>
      <w:r w:rsidRPr="006023FB">
        <w:rPr>
          <w:rFonts w:eastAsiaTheme="minorHAnsi"/>
          <w:sz w:val="20"/>
          <w:szCs w:val="20"/>
        </w:rPr>
        <w:t xml:space="preserve"> 1930); </w:t>
      </w:r>
      <w:r w:rsidRPr="006023FB">
        <w:rPr>
          <w:rFonts w:eastAsiaTheme="minorHAnsi"/>
          <w:i/>
          <w:iCs/>
          <w:sz w:val="20"/>
          <w:szCs w:val="20"/>
        </w:rPr>
        <w:t xml:space="preserve">Biblical Theology: Old and New Testaments </w:t>
      </w:r>
      <w:r w:rsidRPr="006023FB">
        <w:rPr>
          <w:rFonts w:eastAsiaTheme="minorHAnsi"/>
          <w:iCs/>
          <w:sz w:val="20"/>
          <w:szCs w:val="20"/>
        </w:rPr>
        <w:t>(</w:t>
      </w:r>
      <w:r w:rsidR="00F43E59">
        <w:rPr>
          <w:rFonts w:eastAsiaTheme="minorHAnsi"/>
          <w:sz w:val="20"/>
          <w:szCs w:val="20"/>
        </w:rPr>
        <w:t>Grand Rap</w:t>
      </w:r>
      <w:r w:rsidR="00EB30FF">
        <w:rPr>
          <w:rFonts w:eastAsiaTheme="minorHAnsi"/>
          <w:sz w:val="20"/>
          <w:szCs w:val="20"/>
        </w:rPr>
        <w:t xml:space="preserve">ids, Michigan: Wm. B. </w:t>
      </w:r>
      <w:proofErr w:type="spellStart"/>
      <w:r w:rsidR="00EB30FF">
        <w:rPr>
          <w:rFonts w:eastAsiaTheme="minorHAnsi"/>
          <w:sz w:val="20"/>
          <w:szCs w:val="20"/>
        </w:rPr>
        <w:t>Eerdmans</w:t>
      </w:r>
      <w:proofErr w:type="spellEnd"/>
      <w:r w:rsidR="00EB30FF">
        <w:rPr>
          <w:rFonts w:eastAsiaTheme="minorHAnsi"/>
          <w:sz w:val="20"/>
          <w:szCs w:val="20"/>
        </w:rPr>
        <w:t xml:space="preserve">), </w:t>
      </w:r>
      <w:r w:rsidR="00F43E59">
        <w:rPr>
          <w:rFonts w:eastAsiaTheme="minorHAnsi"/>
          <w:sz w:val="20"/>
          <w:szCs w:val="20"/>
        </w:rPr>
        <w:t>407.</w:t>
      </w:r>
    </w:p>
  </w:footnote>
  <w:footnote w:id="3">
    <w:p w:rsidR="00015BDB" w:rsidRDefault="00015BDB">
      <w:pPr>
        <w:pStyle w:val="FootnoteText"/>
      </w:pPr>
      <w:r>
        <w:rPr>
          <w:rStyle w:val="FootnoteReference"/>
        </w:rPr>
        <w:footnoteRef/>
      </w:r>
      <w:r>
        <w:t xml:space="preserve"> </w:t>
      </w:r>
      <w:r w:rsidR="008C7D00">
        <w:t xml:space="preserve">See </w:t>
      </w:r>
      <w:r>
        <w:t>G</w:t>
      </w:r>
      <w:r w:rsidR="008C7D00">
        <w:t>eorge</w:t>
      </w:r>
      <w:r>
        <w:t xml:space="preserve"> E</w:t>
      </w:r>
      <w:r w:rsidR="008C7D00">
        <w:t>ldon</w:t>
      </w:r>
      <w:r>
        <w:t xml:space="preserve"> Ladd, </w:t>
      </w:r>
      <w:proofErr w:type="gramStart"/>
      <w:r>
        <w:rPr>
          <w:i/>
          <w:iCs/>
        </w:rPr>
        <w:t>The</w:t>
      </w:r>
      <w:proofErr w:type="gramEnd"/>
      <w:r>
        <w:rPr>
          <w:i/>
          <w:iCs/>
        </w:rPr>
        <w:t xml:space="preserve"> Presence of the Future</w:t>
      </w:r>
      <w:r w:rsidR="008C7D00">
        <w:t xml:space="preserve"> (Grand Rapids: </w:t>
      </w:r>
      <w:proofErr w:type="spellStart"/>
      <w:r w:rsidR="008C7D00">
        <w:t>Eerdmans</w:t>
      </w:r>
      <w:proofErr w:type="spellEnd"/>
      <w:r w:rsidR="008C7D00">
        <w:t>, 1974</w:t>
      </w:r>
      <w:r>
        <w:t xml:space="preserve">); </w:t>
      </w:r>
      <w:r>
        <w:rPr>
          <w:i/>
          <w:iCs/>
        </w:rPr>
        <w:t>The Gospel of the Kingdom</w:t>
      </w:r>
      <w:r>
        <w:t xml:space="preserve"> (Grand Rapids: </w:t>
      </w:r>
      <w:proofErr w:type="spellStart"/>
      <w:r>
        <w:t>Eerdmans</w:t>
      </w:r>
      <w:proofErr w:type="spellEnd"/>
      <w:r>
        <w:t>, 1959).</w:t>
      </w:r>
    </w:p>
  </w:footnote>
  <w:footnote w:id="4">
    <w:p w:rsidR="00015BDB" w:rsidRDefault="00015BDB">
      <w:pPr>
        <w:pStyle w:val="FootnoteText"/>
      </w:pPr>
      <w:r>
        <w:rPr>
          <w:rStyle w:val="FootnoteReference"/>
        </w:rPr>
        <w:footnoteRef/>
      </w:r>
      <w:r>
        <w:t xml:space="preserve"> See Craig A. </w:t>
      </w:r>
      <w:proofErr w:type="spellStart"/>
      <w:r>
        <w:t>Blaising</w:t>
      </w:r>
      <w:proofErr w:type="spellEnd"/>
      <w:r>
        <w:t xml:space="preserve"> and Darrell Bock, </w:t>
      </w:r>
      <w:r w:rsidRPr="00EE4011">
        <w:rPr>
          <w:i/>
        </w:rPr>
        <w:t xml:space="preserve">Progressive </w:t>
      </w:r>
      <w:proofErr w:type="spellStart"/>
      <w:r w:rsidRPr="00EE4011">
        <w:rPr>
          <w:i/>
        </w:rPr>
        <w:t>Dispensationalism</w:t>
      </w:r>
      <w:proofErr w:type="spellEnd"/>
      <w:r>
        <w:t xml:space="preserve"> (Grand Rapids, Michigan: Baker Books</w:t>
      </w:r>
      <w:r w:rsidR="00EB30FF">
        <w:t xml:space="preserve">, 1993, 2000 paperback edition), </w:t>
      </w:r>
      <w:r>
        <w:t>97-98.</w:t>
      </w:r>
    </w:p>
  </w:footnote>
  <w:footnote w:id="5">
    <w:p w:rsidR="00015BDB" w:rsidRDefault="00015BDB">
      <w:pPr>
        <w:pStyle w:val="FootnoteText"/>
      </w:pPr>
      <w:r>
        <w:rPr>
          <w:rStyle w:val="FootnoteReference"/>
        </w:rPr>
        <w:footnoteRef/>
      </w:r>
      <w:r>
        <w:t xml:space="preserve"> See Keith A. </w:t>
      </w:r>
      <w:proofErr w:type="spellStart"/>
      <w:r>
        <w:t>Mathison</w:t>
      </w:r>
      <w:proofErr w:type="spellEnd"/>
      <w:r>
        <w:t xml:space="preserve">, </w:t>
      </w:r>
      <w:r w:rsidRPr="007E7BF7">
        <w:rPr>
          <w:i/>
        </w:rPr>
        <w:t xml:space="preserve">Postmillennialism: </w:t>
      </w:r>
      <w:proofErr w:type="gramStart"/>
      <w:r w:rsidRPr="007E7BF7">
        <w:rPr>
          <w:i/>
        </w:rPr>
        <w:t>An Eschatology</w:t>
      </w:r>
      <w:proofErr w:type="gramEnd"/>
      <w:r w:rsidRPr="007E7BF7">
        <w:rPr>
          <w:i/>
        </w:rPr>
        <w:t xml:space="preserve"> of Hope</w:t>
      </w:r>
      <w:r>
        <w:t xml:space="preserve"> (</w:t>
      </w:r>
      <w:proofErr w:type="spellStart"/>
      <w:r>
        <w:t>Phillipsberg</w:t>
      </w:r>
      <w:proofErr w:type="spellEnd"/>
      <w:r>
        <w:t>, New Jersey: P &amp; R Publishing Company, 1999):167-168.</w:t>
      </w:r>
    </w:p>
  </w:footnote>
  <w:footnote w:id="6">
    <w:p w:rsidR="00015BDB" w:rsidRPr="00F139A1" w:rsidRDefault="00015BDB">
      <w:pPr>
        <w:pStyle w:val="FootnoteText"/>
        <w:rPr>
          <w:i/>
        </w:rPr>
      </w:pPr>
      <w:r>
        <w:rPr>
          <w:rStyle w:val="FootnoteReference"/>
        </w:rPr>
        <w:footnoteRef/>
      </w:r>
      <w:r>
        <w:t xml:space="preserve"> Stanley D. </w:t>
      </w:r>
      <w:proofErr w:type="spellStart"/>
      <w:r>
        <w:t>Tousaint</w:t>
      </w:r>
      <w:proofErr w:type="spellEnd"/>
      <w:r>
        <w:t xml:space="preserve"> and Jay A. </w:t>
      </w:r>
      <w:proofErr w:type="spellStart"/>
      <w:r>
        <w:t>Quine</w:t>
      </w:r>
      <w:proofErr w:type="spellEnd"/>
      <w:r>
        <w:t xml:space="preserve">, “No, Not Yet: The Contingency of God’s Promised Kingdom” </w:t>
      </w:r>
      <w:r>
        <w:rPr>
          <w:i/>
        </w:rPr>
        <w:t xml:space="preserve">Bibliotheca Sacra </w:t>
      </w:r>
      <w:r w:rsidRPr="00F139A1">
        <w:t>1</w:t>
      </w:r>
      <w:r w:rsidR="00EB30FF">
        <w:t xml:space="preserve">64 (April-June 2007), </w:t>
      </w:r>
      <w:r w:rsidRPr="00F139A1">
        <w:t>131-47.</w:t>
      </w:r>
    </w:p>
  </w:footnote>
  <w:footnote w:id="7">
    <w:p w:rsidR="00015BDB" w:rsidRDefault="00015BDB">
      <w:pPr>
        <w:pStyle w:val="FootnoteText"/>
      </w:pPr>
      <w:r>
        <w:rPr>
          <w:rStyle w:val="FootnoteReference"/>
        </w:rPr>
        <w:footnoteRef/>
      </w:r>
      <w:r w:rsidR="008C7D00">
        <w:t xml:space="preserve"> Two </w:t>
      </w:r>
      <w:proofErr w:type="spellStart"/>
      <w:r>
        <w:t>amillennial</w:t>
      </w:r>
      <w:proofErr w:type="spellEnd"/>
      <w:r>
        <w:t xml:space="preserve"> works are Anthony A. </w:t>
      </w:r>
      <w:proofErr w:type="spellStart"/>
      <w:r>
        <w:t>Hoekema</w:t>
      </w:r>
      <w:proofErr w:type="spellEnd"/>
      <w:r>
        <w:t xml:space="preserve">, </w:t>
      </w:r>
      <w:r w:rsidRPr="00231ABB">
        <w:rPr>
          <w:i/>
        </w:rPr>
        <w:t>The Bible and the Future</w:t>
      </w:r>
      <w:r>
        <w:t xml:space="preserve"> (Grand Rapids: William B. Eerdmans,1979) and Kim </w:t>
      </w:r>
      <w:proofErr w:type="spellStart"/>
      <w:r>
        <w:t>Riddlebarger</w:t>
      </w:r>
      <w:proofErr w:type="spellEnd"/>
      <w:r>
        <w:t xml:space="preserve">, </w:t>
      </w:r>
      <w:r w:rsidRPr="00231ABB">
        <w:rPr>
          <w:i/>
        </w:rPr>
        <w:t xml:space="preserve">A Case for </w:t>
      </w:r>
      <w:proofErr w:type="spellStart"/>
      <w:r w:rsidRPr="00231ABB">
        <w:rPr>
          <w:i/>
        </w:rPr>
        <w:t>Amillennialism</w:t>
      </w:r>
      <w:proofErr w:type="spellEnd"/>
      <w:r>
        <w:t xml:space="preserve"> (Grand Rapids: Baker Books, 2003).</w:t>
      </w:r>
    </w:p>
  </w:footnote>
  <w:footnote w:id="8">
    <w:p w:rsidR="00015BDB" w:rsidRDefault="00015BDB">
      <w:pPr>
        <w:pStyle w:val="FootnoteText"/>
      </w:pPr>
      <w:r>
        <w:rPr>
          <w:rStyle w:val="FootnoteReference"/>
        </w:rPr>
        <w:footnoteRef/>
      </w:r>
      <w:r w:rsidR="00EB30FF">
        <w:t xml:space="preserve"> </w:t>
      </w:r>
      <w:proofErr w:type="spellStart"/>
      <w:proofErr w:type="gramStart"/>
      <w:r w:rsidR="00EB30FF">
        <w:t>Hoekema</w:t>
      </w:r>
      <w:proofErr w:type="spellEnd"/>
      <w:r w:rsidR="00EB30FF">
        <w:t xml:space="preserve">, </w:t>
      </w:r>
      <w:r>
        <w:t>174.</w:t>
      </w:r>
      <w:proofErr w:type="gramEnd"/>
    </w:p>
  </w:footnote>
  <w:footnote w:id="9">
    <w:p w:rsidR="00015BDB" w:rsidRDefault="00015BDB">
      <w:pPr>
        <w:pStyle w:val="FootnoteText"/>
      </w:pPr>
      <w:r>
        <w:rPr>
          <w:rStyle w:val="FootnoteReference"/>
        </w:rPr>
        <w:footnoteRef/>
      </w:r>
      <w:r>
        <w:t xml:space="preserve"> The chart can be found at </w:t>
      </w:r>
      <w:hyperlink r:id="rId1" w:history="1">
        <w:r w:rsidRPr="008D14B5">
          <w:rPr>
            <w:rStyle w:val="Hyperlink"/>
          </w:rPr>
          <w:t>http://www.blueletterbible.org/faq/nunc.html</w:t>
        </w:r>
      </w:hyperlink>
      <w:r>
        <w:t>, accessed December 19, 2011.</w:t>
      </w:r>
    </w:p>
  </w:footnote>
  <w:footnote w:id="10">
    <w:p w:rsidR="00015BDB" w:rsidRDefault="00015BDB">
      <w:pPr>
        <w:pStyle w:val="FootnoteText"/>
      </w:pPr>
      <w:r>
        <w:rPr>
          <w:rStyle w:val="FootnoteReference"/>
        </w:rPr>
        <w:footnoteRef/>
      </w:r>
      <w:r w:rsidR="00EB30FF">
        <w:t xml:space="preserve"> </w:t>
      </w:r>
      <w:proofErr w:type="spellStart"/>
      <w:r w:rsidR="00EB30FF">
        <w:t>Riddlebarger</w:t>
      </w:r>
      <w:proofErr w:type="spellEnd"/>
      <w:r w:rsidR="00EB30FF">
        <w:t xml:space="preserve">, </w:t>
      </w:r>
      <w:r>
        <w:t>117-123.</w:t>
      </w:r>
    </w:p>
  </w:footnote>
  <w:footnote w:id="11">
    <w:p w:rsidR="00015BDB" w:rsidRPr="00AC1D85" w:rsidRDefault="00015BDB">
      <w:pPr>
        <w:pStyle w:val="FootnoteText"/>
      </w:pPr>
      <w:r>
        <w:rPr>
          <w:rStyle w:val="FootnoteReference"/>
        </w:rPr>
        <w:footnoteRef/>
      </w:r>
      <w:r>
        <w:t xml:space="preserve"> See Rex M. Rogers, </w:t>
      </w:r>
      <w:r w:rsidRPr="00240ABF">
        <w:rPr>
          <w:i/>
        </w:rPr>
        <w:t>Christian Liberty</w:t>
      </w:r>
      <w:r>
        <w:t>, (Baker Books, 2003):67-68.  Rogers summar</w:t>
      </w:r>
      <w:r w:rsidR="00935574">
        <w:t xml:space="preserve">izes </w:t>
      </w:r>
      <w:r>
        <w:t xml:space="preserve">the various eschatological views and concludes that they help determine the understanding of the cultural mandate.  </w:t>
      </w:r>
      <w:proofErr w:type="spellStart"/>
      <w:r>
        <w:t>Premillennialism</w:t>
      </w:r>
      <w:proofErr w:type="spellEnd"/>
      <w:r>
        <w:t xml:space="preserve"> is generally not optimistic about the transformation of society.  Postmillennialism and </w:t>
      </w:r>
      <w:proofErr w:type="spellStart"/>
      <w:r>
        <w:t>amillennialism</w:t>
      </w:r>
      <w:proofErr w:type="spellEnd"/>
      <w:r>
        <w:t xml:space="preserve"> embrace it.</w:t>
      </w:r>
      <w:r w:rsidR="00AC1D85">
        <w:t xml:space="preserve">  See also Nancy </w:t>
      </w:r>
      <w:proofErr w:type="spellStart"/>
      <w:r w:rsidR="00AC1D85">
        <w:t>Pearcy</w:t>
      </w:r>
      <w:proofErr w:type="spellEnd"/>
      <w:r w:rsidR="00AC1D85">
        <w:t xml:space="preserve">, </w:t>
      </w:r>
      <w:r w:rsidR="00AC1D85">
        <w:rPr>
          <w:i/>
        </w:rPr>
        <w:t>Total Truth</w:t>
      </w:r>
      <w:r w:rsidR="00EB30FF">
        <w:t xml:space="preserve"> (Wheaton: Crossway, 2004)</w:t>
      </w:r>
      <w:proofErr w:type="gramStart"/>
      <w:r w:rsidR="00EB30FF">
        <w:t>,</w:t>
      </w:r>
      <w:r w:rsidR="006B19C0">
        <w:t>17</w:t>
      </w:r>
      <w:proofErr w:type="gramEnd"/>
      <w:r w:rsidR="006B19C0">
        <w:t>.</w:t>
      </w:r>
    </w:p>
  </w:footnote>
  <w:footnote w:id="12">
    <w:p w:rsidR="00015BDB" w:rsidRDefault="00015BDB">
      <w:pPr>
        <w:pStyle w:val="FootnoteText"/>
      </w:pPr>
      <w:r>
        <w:rPr>
          <w:rStyle w:val="FootnoteReference"/>
        </w:rPr>
        <w:footnoteRef/>
      </w:r>
      <w:r>
        <w:t xml:space="preserve"> See </w:t>
      </w:r>
      <w:r w:rsidRPr="008B4E00">
        <w:rPr>
          <w:i/>
        </w:rPr>
        <w:t>Postmillennialism: An Eschatology of Hope</w:t>
      </w:r>
      <w:r>
        <w:t xml:space="preserve">; Kenneth L Gentry, </w:t>
      </w:r>
      <w:proofErr w:type="spellStart"/>
      <w:r>
        <w:t>Jr</w:t>
      </w:r>
      <w:proofErr w:type="spellEnd"/>
      <w:r>
        <w:t xml:space="preserve">, “Postmillennialism,” </w:t>
      </w:r>
      <w:r w:rsidR="00282945">
        <w:rPr>
          <w:i/>
        </w:rPr>
        <w:t>Three Views on</w:t>
      </w:r>
      <w:r w:rsidRPr="008B4E00">
        <w:rPr>
          <w:i/>
        </w:rPr>
        <w:t xml:space="preserve"> the Millennium and Beyond</w:t>
      </w:r>
      <w:r>
        <w:t xml:space="preserve">, </w:t>
      </w:r>
      <w:r w:rsidR="00282945">
        <w:t xml:space="preserve">Gen. </w:t>
      </w:r>
      <w:r>
        <w:t xml:space="preserve">Ed. Darrell L. Bock (Grand Rapids: </w:t>
      </w:r>
      <w:proofErr w:type="spellStart"/>
      <w:r>
        <w:t>Zondervan</w:t>
      </w:r>
      <w:proofErr w:type="spellEnd"/>
      <w:r>
        <w:t xml:space="preserve"> Publishing House, 1999).</w:t>
      </w:r>
    </w:p>
  </w:footnote>
  <w:footnote w:id="13">
    <w:p w:rsidR="00015BDB" w:rsidRDefault="00015BDB">
      <w:pPr>
        <w:pStyle w:val="FootnoteText"/>
      </w:pPr>
      <w:r>
        <w:rPr>
          <w:rStyle w:val="FootnoteReference"/>
        </w:rPr>
        <w:footnoteRef/>
      </w:r>
      <w:r>
        <w:t xml:space="preserve"> </w:t>
      </w:r>
      <w:proofErr w:type="spellStart"/>
      <w:r w:rsidRPr="00DB051D">
        <w:rPr>
          <w:i/>
        </w:rPr>
        <w:t>Postmillenialism</w:t>
      </w:r>
      <w:proofErr w:type="spellEnd"/>
      <w:r w:rsidRPr="00DB051D">
        <w:rPr>
          <w:i/>
        </w:rPr>
        <w:t xml:space="preserve">: </w:t>
      </w:r>
      <w:proofErr w:type="gramStart"/>
      <w:r w:rsidRPr="00DB051D">
        <w:rPr>
          <w:i/>
        </w:rPr>
        <w:t>An Eschatology</w:t>
      </w:r>
      <w:proofErr w:type="gramEnd"/>
      <w:r w:rsidRPr="00DB051D">
        <w:rPr>
          <w:i/>
        </w:rPr>
        <w:t xml:space="preserve"> of Hope</w:t>
      </w:r>
      <w:r w:rsidR="00EB30FF">
        <w:t xml:space="preserve">, </w:t>
      </w:r>
      <w:r>
        <w:t>10.</w:t>
      </w:r>
    </w:p>
  </w:footnote>
  <w:footnote w:id="14">
    <w:p w:rsidR="00015BDB" w:rsidRDefault="00015BDB">
      <w:pPr>
        <w:pStyle w:val="FootnoteText"/>
      </w:pPr>
      <w:r>
        <w:rPr>
          <w:rStyle w:val="FootnoteReference"/>
        </w:rPr>
        <w:footnoteRef/>
      </w:r>
      <w:r w:rsidR="004956EA">
        <w:t xml:space="preserve"> </w:t>
      </w:r>
      <w:proofErr w:type="gramStart"/>
      <w:r w:rsidR="004956EA">
        <w:t>Ibid.,</w:t>
      </w:r>
      <w:proofErr w:type="gramEnd"/>
      <w:r w:rsidR="004956EA">
        <w:t xml:space="preserve"> </w:t>
      </w:r>
      <w:r>
        <w:t>179-185.</w:t>
      </w:r>
    </w:p>
  </w:footnote>
  <w:footnote w:id="15">
    <w:p w:rsidR="00015BDB" w:rsidRDefault="00015BDB">
      <w:pPr>
        <w:pStyle w:val="FootnoteText"/>
      </w:pPr>
      <w:r>
        <w:rPr>
          <w:rStyle w:val="FootnoteReference"/>
        </w:rPr>
        <w:footnoteRef/>
      </w:r>
      <w:r w:rsidR="004956EA">
        <w:t xml:space="preserve"> </w:t>
      </w:r>
      <w:proofErr w:type="gramStart"/>
      <w:r w:rsidR="004956EA">
        <w:t>Ibid.,</w:t>
      </w:r>
      <w:proofErr w:type="gramEnd"/>
      <w:r w:rsidR="004956EA">
        <w:t xml:space="preserve"> </w:t>
      </w:r>
      <w:r>
        <w:t>191.</w:t>
      </w:r>
    </w:p>
  </w:footnote>
  <w:footnote w:id="16">
    <w:p w:rsidR="00015BDB" w:rsidRDefault="00015BDB">
      <w:pPr>
        <w:pStyle w:val="FootnoteText"/>
      </w:pPr>
      <w:r>
        <w:rPr>
          <w:rStyle w:val="FootnoteReference"/>
        </w:rPr>
        <w:footnoteRef/>
      </w:r>
      <w:r>
        <w:t xml:space="preserve"> David J. </w:t>
      </w:r>
      <w:proofErr w:type="spellStart"/>
      <w:r>
        <w:t>Engelsma</w:t>
      </w:r>
      <w:proofErr w:type="spellEnd"/>
      <w:r>
        <w:t xml:space="preserve">, </w:t>
      </w:r>
      <w:r w:rsidRPr="003952FD">
        <w:rPr>
          <w:i/>
        </w:rPr>
        <w:t>Christ’s Spiritual Kingdom: A Def</w:t>
      </w:r>
      <w:r>
        <w:rPr>
          <w:i/>
        </w:rPr>
        <w:t xml:space="preserve">ense of Reformed </w:t>
      </w:r>
      <w:proofErr w:type="spellStart"/>
      <w:proofErr w:type="gramStart"/>
      <w:r>
        <w:rPr>
          <w:i/>
        </w:rPr>
        <w:t>Amillennialism</w:t>
      </w:r>
      <w:proofErr w:type="spellEnd"/>
      <w:r>
        <w:rPr>
          <w:i/>
        </w:rPr>
        <w:t xml:space="preserve"> </w:t>
      </w:r>
      <w:r w:rsidR="00EB30FF">
        <w:t xml:space="preserve"> (</w:t>
      </w:r>
      <w:proofErr w:type="gramEnd"/>
      <w:r w:rsidR="00EB30FF">
        <w:t>The Reformed Witness, 2001),</w:t>
      </w:r>
      <w:r>
        <w:t xml:space="preserve"> 51, 69.</w:t>
      </w:r>
    </w:p>
  </w:footnote>
  <w:footnote w:id="17">
    <w:p w:rsidR="00015BDB" w:rsidRDefault="00015BDB">
      <w:pPr>
        <w:pStyle w:val="FootnoteText"/>
      </w:pPr>
      <w:r>
        <w:rPr>
          <w:rStyle w:val="FootnoteReference"/>
        </w:rPr>
        <w:footnoteRef/>
      </w:r>
      <w:r>
        <w:t xml:space="preserve"> Oswald T. Allis, “foreword” to Roderick Campbell, </w:t>
      </w:r>
      <w:r w:rsidRPr="00A2307A">
        <w:rPr>
          <w:i/>
        </w:rPr>
        <w:t>Israel and the New Covenant</w:t>
      </w:r>
      <w:r>
        <w:t xml:space="preserve"> (Philadelphia: Presbyterian and</w:t>
      </w:r>
      <w:r w:rsidR="00F43E59">
        <w:t xml:space="preserve"> Reformed, 1954), ix.</w:t>
      </w:r>
    </w:p>
  </w:footnote>
  <w:footnote w:id="18">
    <w:p w:rsidR="00015BDB" w:rsidRDefault="00015BDB">
      <w:pPr>
        <w:pStyle w:val="FootnoteText"/>
      </w:pPr>
      <w:r>
        <w:rPr>
          <w:rStyle w:val="FootnoteReference"/>
        </w:rPr>
        <w:footnoteRef/>
      </w:r>
      <w:r>
        <w:t xml:space="preserve"> This chart can be found at </w:t>
      </w:r>
      <w:hyperlink r:id="rId2" w:history="1">
        <w:r w:rsidRPr="008D14B5">
          <w:rPr>
            <w:rStyle w:val="Hyperlink"/>
          </w:rPr>
          <w:t>http://www.blueletterbible.org/faq/post.html</w:t>
        </w:r>
      </w:hyperlink>
      <w:r>
        <w:t>, accessed December 19, 2011.</w:t>
      </w:r>
    </w:p>
  </w:footnote>
  <w:footnote w:id="19">
    <w:p w:rsidR="00015BDB" w:rsidRDefault="00015BDB">
      <w:pPr>
        <w:pStyle w:val="FootnoteText"/>
      </w:pPr>
      <w:r>
        <w:rPr>
          <w:rStyle w:val="FootnoteReference"/>
        </w:rPr>
        <w:footnoteRef/>
      </w:r>
      <w:r>
        <w:t xml:space="preserve"> Some primary </w:t>
      </w:r>
      <w:proofErr w:type="spellStart"/>
      <w:proofErr w:type="gramStart"/>
      <w:r>
        <w:t>reconstructionists</w:t>
      </w:r>
      <w:proofErr w:type="spellEnd"/>
      <w:proofErr w:type="gramEnd"/>
      <w:r>
        <w:t xml:space="preserve"> works are: </w:t>
      </w:r>
      <w:proofErr w:type="spellStart"/>
      <w:r>
        <w:t>Rousas</w:t>
      </w:r>
      <w:proofErr w:type="spellEnd"/>
      <w:r>
        <w:t xml:space="preserve"> J. </w:t>
      </w:r>
      <w:proofErr w:type="spellStart"/>
      <w:r>
        <w:t>Rushdoony</w:t>
      </w:r>
      <w:proofErr w:type="spellEnd"/>
      <w:r>
        <w:t xml:space="preserve">, </w:t>
      </w:r>
      <w:r w:rsidRPr="004C779A">
        <w:rPr>
          <w:i/>
        </w:rPr>
        <w:t>The Institutes of Biblical Law</w:t>
      </w:r>
      <w:r w:rsidR="00282945">
        <w:t xml:space="preserve"> (Craig Press</w:t>
      </w:r>
      <w:r>
        <w:t xml:space="preserve">, 1973); Gary North and Gary </w:t>
      </w:r>
      <w:proofErr w:type="spellStart"/>
      <w:r>
        <w:t>DeMar</w:t>
      </w:r>
      <w:proofErr w:type="spellEnd"/>
      <w:r>
        <w:t xml:space="preserve">, </w:t>
      </w:r>
      <w:r w:rsidRPr="004C779A">
        <w:rPr>
          <w:i/>
        </w:rPr>
        <w:t xml:space="preserve">Christian </w:t>
      </w:r>
      <w:proofErr w:type="spellStart"/>
      <w:r w:rsidRPr="004C779A">
        <w:rPr>
          <w:i/>
        </w:rPr>
        <w:t>Reconstructionism</w:t>
      </w:r>
      <w:proofErr w:type="spellEnd"/>
      <w:r w:rsidRPr="004C779A">
        <w:rPr>
          <w:i/>
        </w:rPr>
        <w:t>: What It Is, What It Isn’t</w:t>
      </w:r>
      <w:r>
        <w:t xml:space="preserve"> (Tyler, Tex: Institute for Christian Economics, 1991); Greg </w:t>
      </w:r>
      <w:proofErr w:type="spellStart"/>
      <w:r>
        <w:t>Bahnsen</w:t>
      </w:r>
      <w:proofErr w:type="spellEnd"/>
      <w:r>
        <w:t xml:space="preserve">, </w:t>
      </w:r>
      <w:proofErr w:type="spellStart"/>
      <w:r w:rsidR="00AD7A2A">
        <w:rPr>
          <w:i/>
        </w:rPr>
        <w:t>Theonomy</w:t>
      </w:r>
      <w:proofErr w:type="spellEnd"/>
      <w:r w:rsidR="00AD7A2A">
        <w:rPr>
          <w:i/>
        </w:rPr>
        <w:t xml:space="preserve"> in</w:t>
      </w:r>
      <w:r w:rsidRPr="009A7B6E">
        <w:rPr>
          <w:i/>
        </w:rPr>
        <w:t xml:space="preserve"> Christian Ethics</w:t>
      </w:r>
      <w:r>
        <w:t xml:space="preserve"> (</w:t>
      </w:r>
      <w:r w:rsidR="00AD7A2A">
        <w:t>Craig Press, 1979</w:t>
      </w:r>
      <w:r>
        <w:t xml:space="preserve">).  For a critique from a dispensational viewpoint see Thomas D. Ice, “An Evaluation of </w:t>
      </w:r>
      <w:proofErr w:type="spellStart"/>
      <w:r>
        <w:t>Theonomic</w:t>
      </w:r>
      <w:proofErr w:type="spellEnd"/>
      <w:r>
        <w:t xml:space="preserve"> </w:t>
      </w:r>
      <w:proofErr w:type="spellStart"/>
      <w:r>
        <w:t>Neopostmillennialism</w:t>
      </w:r>
      <w:proofErr w:type="spellEnd"/>
      <w:r>
        <w:t xml:space="preserve">”, </w:t>
      </w:r>
      <w:r w:rsidRPr="00744C57">
        <w:rPr>
          <w:i/>
        </w:rPr>
        <w:t>Bibliotheca Sacra</w:t>
      </w:r>
      <w:r>
        <w:t>, July-September 1988, 281-300.</w:t>
      </w:r>
    </w:p>
  </w:footnote>
  <w:footnote w:id="20">
    <w:p w:rsidR="00015BDB" w:rsidRDefault="00015BDB">
      <w:pPr>
        <w:pStyle w:val="FootnoteText"/>
      </w:pPr>
      <w:r>
        <w:rPr>
          <w:rStyle w:val="FootnoteReference"/>
        </w:rPr>
        <w:footnoteRef/>
      </w:r>
      <w:r>
        <w:t xml:space="preserve"> The document can be found at </w:t>
      </w:r>
      <w:hyperlink r:id="rId3" w:history="1">
        <w:r w:rsidRPr="008D14B5">
          <w:rPr>
            <w:rStyle w:val="Hyperlink"/>
          </w:rPr>
          <w:t>http://65.175.91.69/Reformation_net/Pages/Kingdom_of_God_Commentary.htm</w:t>
        </w:r>
      </w:hyperlink>
      <w:r>
        <w:t>, accessed December 20, 2011.</w:t>
      </w:r>
    </w:p>
  </w:footnote>
  <w:footnote w:id="21">
    <w:p w:rsidR="00015BDB" w:rsidRDefault="00015BDB">
      <w:pPr>
        <w:pStyle w:val="FootnoteText"/>
      </w:pPr>
      <w:r>
        <w:rPr>
          <w:rStyle w:val="FootnoteReference"/>
        </w:rPr>
        <w:footnoteRef/>
      </w:r>
      <w:r>
        <w:t xml:space="preserve"> C. Peter Wagner, </w:t>
      </w:r>
      <w:r w:rsidRPr="00D5413E">
        <w:rPr>
          <w:i/>
        </w:rPr>
        <w:t>Dominion! How Kingdom Action Can Change the World</w:t>
      </w:r>
      <w:r>
        <w:t xml:space="preserve"> (Grand Rapids,</w:t>
      </w:r>
      <w:r w:rsidR="00EB30FF">
        <w:t xml:space="preserve"> Michigan: Chosen Books, 2008)</w:t>
      </w:r>
      <w:proofErr w:type="gramStart"/>
      <w:r w:rsidR="00EB30FF">
        <w:t>,</w:t>
      </w:r>
      <w:r>
        <w:t>11</w:t>
      </w:r>
      <w:proofErr w:type="gramEnd"/>
      <w:r>
        <w:t>.</w:t>
      </w:r>
    </w:p>
  </w:footnote>
  <w:footnote w:id="22">
    <w:p w:rsidR="00015BDB" w:rsidRDefault="00015BDB">
      <w:pPr>
        <w:pStyle w:val="FootnoteText"/>
      </w:pPr>
      <w:r>
        <w:rPr>
          <w:rStyle w:val="FootnoteReference"/>
        </w:rPr>
        <w:footnoteRef/>
      </w:r>
      <w:r w:rsidR="004956EA">
        <w:t xml:space="preserve"> </w:t>
      </w:r>
      <w:proofErr w:type="gramStart"/>
      <w:r w:rsidR="004956EA">
        <w:t>Ibid.,</w:t>
      </w:r>
      <w:proofErr w:type="gramEnd"/>
      <w:r w:rsidR="004956EA">
        <w:t xml:space="preserve"> </w:t>
      </w:r>
      <w:r>
        <w:t>46.</w:t>
      </w:r>
    </w:p>
  </w:footnote>
  <w:footnote w:id="23">
    <w:p w:rsidR="00015BDB" w:rsidRDefault="00015BDB">
      <w:pPr>
        <w:pStyle w:val="FootnoteText"/>
      </w:pPr>
      <w:r>
        <w:rPr>
          <w:rStyle w:val="FootnoteReference"/>
        </w:rPr>
        <w:footnoteRef/>
      </w:r>
      <w:r w:rsidR="004956EA">
        <w:t xml:space="preserve"> </w:t>
      </w:r>
      <w:proofErr w:type="gramStart"/>
      <w:r w:rsidR="004956EA">
        <w:t>Ibid.,</w:t>
      </w:r>
      <w:proofErr w:type="gramEnd"/>
      <w:r>
        <w:t xml:space="preserve"> 61.</w:t>
      </w:r>
    </w:p>
  </w:footnote>
  <w:footnote w:id="24">
    <w:p w:rsidR="00015BDB" w:rsidRDefault="00015BDB">
      <w:pPr>
        <w:pStyle w:val="FootnoteText"/>
      </w:pPr>
      <w:r>
        <w:rPr>
          <w:rStyle w:val="FootnoteReference"/>
        </w:rPr>
        <w:footnoteRef/>
      </w:r>
      <w:r w:rsidR="004956EA">
        <w:t xml:space="preserve"> </w:t>
      </w:r>
      <w:proofErr w:type="gramStart"/>
      <w:r w:rsidR="004956EA">
        <w:t>Ibid.,</w:t>
      </w:r>
      <w:proofErr w:type="gramEnd"/>
      <w:r>
        <w:t xml:space="preserve"> 62.</w:t>
      </w:r>
    </w:p>
  </w:footnote>
  <w:footnote w:id="25">
    <w:p w:rsidR="00015BDB" w:rsidRDefault="00015BDB">
      <w:pPr>
        <w:pStyle w:val="FootnoteText"/>
      </w:pPr>
      <w:r>
        <w:rPr>
          <w:rStyle w:val="FootnoteReference"/>
        </w:rPr>
        <w:footnoteRef/>
      </w:r>
      <w:r w:rsidR="004956EA">
        <w:t xml:space="preserve"> </w:t>
      </w:r>
      <w:proofErr w:type="gramStart"/>
      <w:r w:rsidR="004956EA">
        <w:t>Ibid.,</w:t>
      </w:r>
      <w:proofErr w:type="gramEnd"/>
      <w:r>
        <w:t xml:space="preserve"> 157-179.</w:t>
      </w:r>
    </w:p>
  </w:footnote>
  <w:footnote w:id="26">
    <w:p w:rsidR="00015BDB" w:rsidRDefault="00015BDB">
      <w:pPr>
        <w:pStyle w:val="FootnoteText"/>
      </w:pPr>
      <w:r>
        <w:rPr>
          <w:rStyle w:val="FootnoteReference"/>
        </w:rPr>
        <w:footnoteRef/>
      </w:r>
      <w:r>
        <w:t xml:space="preserve"> The chart can be found at </w:t>
      </w:r>
      <w:hyperlink r:id="rId4" w:history="1">
        <w:r w:rsidRPr="008D14B5">
          <w:rPr>
            <w:rStyle w:val="Hyperlink"/>
          </w:rPr>
          <w:t>http://livingjourney.files.wordpress.com/2007/12/7m.jpg</w:t>
        </w:r>
      </w:hyperlink>
      <w:r>
        <w:t>, accessed December 20, 2011.</w:t>
      </w:r>
    </w:p>
  </w:footnote>
  <w:footnote w:id="27">
    <w:p w:rsidR="00015BDB" w:rsidRDefault="00015BDB">
      <w:pPr>
        <w:pStyle w:val="FootnoteText"/>
      </w:pPr>
      <w:r>
        <w:rPr>
          <w:rStyle w:val="FootnoteReference"/>
        </w:rPr>
        <w:footnoteRef/>
      </w:r>
      <w:r>
        <w:t xml:space="preserve"> See </w:t>
      </w:r>
      <w:hyperlink r:id="rId5" w:history="1">
        <w:r w:rsidRPr="008D14B5">
          <w:rPr>
            <w:rStyle w:val="Hyperlink"/>
          </w:rPr>
          <w:t>http://theresponseusa.com/</w:t>
        </w:r>
      </w:hyperlink>
      <w:r>
        <w:t>, accessed December 20, 2011.</w:t>
      </w:r>
    </w:p>
  </w:footnote>
  <w:footnote w:id="28">
    <w:p w:rsidR="00015BDB" w:rsidRDefault="00015BDB">
      <w:pPr>
        <w:pStyle w:val="FootnoteText"/>
      </w:pPr>
      <w:r>
        <w:rPr>
          <w:rStyle w:val="FootnoteReference"/>
        </w:rPr>
        <w:footnoteRef/>
      </w:r>
      <w:r>
        <w:t xml:space="preserve"> C. Peter Wagner, “The Truth about the New Apostolic Reformation”, </w:t>
      </w:r>
      <w:r w:rsidRPr="005130CB">
        <w:rPr>
          <w:i/>
        </w:rPr>
        <w:t>Charisma</w:t>
      </w:r>
      <w:r>
        <w:t>, Nov 2011, 40-44.</w:t>
      </w:r>
    </w:p>
  </w:footnote>
  <w:footnote w:id="29">
    <w:p w:rsidR="00015BDB" w:rsidRDefault="00015BDB">
      <w:pPr>
        <w:pStyle w:val="FootnoteText"/>
      </w:pPr>
      <w:r>
        <w:rPr>
          <w:rStyle w:val="FootnoteReference"/>
        </w:rPr>
        <w:footnoteRef/>
      </w:r>
      <w:r>
        <w:t xml:space="preserve"> See Donald K. Campbell and Jeffrey L. Townsend, </w:t>
      </w:r>
      <w:proofErr w:type="gramStart"/>
      <w:r w:rsidRPr="00F056E2">
        <w:rPr>
          <w:i/>
        </w:rPr>
        <w:t>A</w:t>
      </w:r>
      <w:proofErr w:type="gramEnd"/>
      <w:r w:rsidRPr="00F056E2">
        <w:rPr>
          <w:i/>
        </w:rPr>
        <w:t xml:space="preserve"> Case for </w:t>
      </w:r>
      <w:proofErr w:type="spellStart"/>
      <w:r w:rsidRPr="00F056E2">
        <w:rPr>
          <w:i/>
        </w:rPr>
        <w:t>Premillennialism</w:t>
      </w:r>
      <w:proofErr w:type="spellEnd"/>
      <w:r w:rsidRPr="00F056E2">
        <w:rPr>
          <w:i/>
        </w:rPr>
        <w:t>: A New Consensus</w:t>
      </w:r>
      <w:r>
        <w:t xml:space="preserve"> (Chicago: The Moody Press, 1992).</w:t>
      </w:r>
    </w:p>
  </w:footnote>
  <w:footnote w:id="30">
    <w:p w:rsidR="00015BDB" w:rsidRDefault="00015BDB">
      <w:pPr>
        <w:pStyle w:val="FootnoteText"/>
      </w:pPr>
      <w:r>
        <w:rPr>
          <w:rStyle w:val="FootnoteReference"/>
        </w:rPr>
        <w:footnoteRef/>
      </w:r>
      <w:r>
        <w:t xml:space="preserve"> </w:t>
      </w:r>
      <w:proofErr w:type="gramStart"/>
      <w:r>
        <w:t xml:space="preserve">For example, </w:t>
      </w:r>
      <w:r w:rsidRPr="00FF24AF">
        <w:rPr>
          <w:i/>
        </w:rPr>
        <w:t>The Gospel of the Kingdom</w:t>
      </w:r>
      <w:r>
        <w:t xml:space="preserve"> (Grand Rapids: William B. </w:t>
      </w:r>
      <w:proofErr w:type="spellStart"/>
      <w:r>
        <w:t>Eerdmans</w:t>
      </w:r>
      <w:proofErr w:type="spellEnd"/>
      <w:r>
        <w:t xml:space="preserve"> Publishing Company, 1959); </w:t>
      </w:r>
      <w:r w:rsidRPr="00FF24AF">
        <w:rPr>
          <w:i/>
        </w:rPr>
        <w:t>A Theology of the New Testament</w:t>
      </w:r>
      <w:r>
        <w:t xml:space="preserve"> (Grand Rapids: William B. </w:t>
      </w:r>
      <w:proofErr w:type="spellStart"/>
      <w:r>
        <w:t>Eerdmans</w:t>
      </w:r>
      <w:proofErr w:type="spellEnd"/>
      <w:r>
        <w:t xml:space="preserve"> Publishing Company, 1974).</w:t>
      </w:r>
      <w:proofErr w:type="gramEnd"/>
    </w:p>
  </w:footnote>
  <w:footnote w:id="31">
    <w:p w:rsidR="00015BDB" w:rsidRDefault="00015BDB">
      <w:pPr>
        <w:pStyle w:val="FootnoteText"/>
      </w:pPr>
      <w:r>
        <w:rPr>
          <w:rStyle w:val="FootnoteReference"/>
        </w:rPr>
        <w:footnoteRef/>
      </w:r>
      <w:r>
        <w:t xml:space="preserve"> The chart can be found at </w:t>
      </w:r>
      <w:hyperlink r:id="rId6" w:history="1">
        <w:r w:rsidRPr="008D14B5">
          <w:rPr>
            <w:rStyle w:val="Hyperlink"/>
          </w:rPr>
          <w:t>http://www.blueletterbible.org/faq/hispre.html</w:t>
        </w:r>
      </w:hyperlink>
      <w:r>
        <w:t>, accessed December 20, 2011.</w:t>
      </w:r>
    </w:p>
  </w:footnote>
  <w:footnote w:id="32">
    <w:p w:rsidR="00015BDB" w:rsidRDefault="00015BDB">
      <w:pPr>
        <w:pStyle w:val="FootnoteText"/>
      </w:pPr>
      <w:r>
        <w:rPr>
          <w:rStyle w:val="FootnoteReference"/>
        </w:rPr>
        <w:footnoteRef/>
      </w:r>
      <w:r>
        <w:t xml:space="preserve"> Major works include </w:t>
      </w:r>
      <w:proofErr w:type="spellStart"/>
      <w:r w:rsidRPr="001753A4">
        <w:rPr>
          <w:i/>
        </w:rPr>
        <w:t>Dispensationalism</w:t>
      </w:r>
      <w:proofErr w:type="spellEnd"/>
      <w:r w:rsidRPr="001753A4">
        <w:rPr>
          <w:i/>
        </w:rPr>
        <w:t>, Israel and the Church</w:t>
      </w:r>
      <w:r>
        <w:t xml:space="preserve">, Craig A. </w:t>
      </w:r>
      <w:proofErr w:type="spellStart"/>
      <w:r>
        <w:t>Blaising</w:t>
      </w:r>
      <w:proofErr w:type="spellEnd"/>
      <w:r>
        <w:t xml:space="preserve"> and Darrell L. Bock, Editors (</w:t>
      </w:r>
      <w:proofErr w:type="spellStart"/>
      <w:r>
        <w:t>Zondervan</w:t>
      </w:r>
      <w:proofErr w:type="spellEnd"/>
      <w:r>
        <w:t xml:space="preserve"> Publishing House, 1992); Robert L. Saucy, The </w:t>
      </w:r>
      <w:r w:rsidRPr="001753A4">
        <w:rPr>
          <w:i/>
        </w:rPr>
        <w:t xml:space="preserve">Case for Progressive </w:t>
      </w:r>
      <w:proofErr w:type="spellStart"/>
      <w:r w:rsidRPr="001753A4">
        <w:rPr>
          <w:i/>
        </w:rPr>
        <w:t>Dispensationalism</w:t>
      </w:r>
      <w:proofErr w:type="spellEnd"/>
      <w:r>
        <w:t xml:space="preserve"> (</w:t>
      </w:r>
      <w:proofErr w:type="spellStart"/>
      <w:r>
        <w:t>Zondervan</w:t>
      </w:r>
      <w:proofErr w:type="spellEnd"/>
      <w:r>
        <w:t xml:space="preserve"> Publishing House, 1993); Craig A. </w:t>
      </w:r>
      <w:proofErr w:type="spellStart"/>
      <w:r>
        <w:t>Blaising</w:t>
      </w:r>
      <w:proofErr w:type="spellEnd"/>
      <w:r>
        <w:t xml:space="preserve"> and Darrell L. Bock, </w:t>
      </w:r>
      <w:r w:rsidRPr="001753A4">
        <w:rPr>
          <w:i/>
        </w:rPr>
        <w:t xml:space="preserve">Progressive </w:t>
      </w:r>
      <w:proofErr w:type="spellStart"/>
      <w:r w:rsidRPr="001753A4">
        <w:rPr>
          <w:i/>
        </w:rPr>
        <w:t>Dispensationalism</w:t>
      </w:r>
      <w:proofErr w:type="spellEnd"/>
      <w:r>
        <w:t xml:space="preserve"> (Grand Rapids, Michigan: Baker Books, 1993).</w:t>
      </w:r>
      <w:r w:rsidR="00A233C7">
        <w:t xml:space="preserve">  Some in the free grace movement such as J. Paul Tanner are Progressive Dispensationalists – see paultanner.org, “A Progressive Fulfillment View of Israel’s Old T</w:t>
      </w:r>
      <w:r w:rsidR="00EF0DFB">
        <w:t>estament Covenants and Promises.</w:t>
      </w:r>
      <w:r w:rsidR="00A233C7">
        <w:t>”</w:t>
      </w:r>
    </w:p>
  </w:footnote>
  <w:footnote w:id="33">
    <w:p w:rsidR="00015BDB" w:rsidRDefault="00015BDB">
      <w:pPr>
        <w:pStyle w:val="FootnoteText"/>
      </w:pPr>
      <w:r>
        <w:rPr>
          <w:rStyle w:val="FootnoteReference"/>
        </w:rPr>
        <w:footnoteRef/>
      </w:r>
      <w:r>
        <w:t xml:space="preserve"> </w:t>
      </w:r>
      <w:proofErr w:type="gramStart"/>
      <w:r>
        <w:t>Saucy, 27.</w:t>
      </w:r>
      <w:proofErr w:type="gramEnd"/>
    </w:p>
  </w:footnote>
  <w:footnote w:id="34">
    <w:p w:rsidR="00B71CFF" w:rsidRDefault="00B71CFF">
      <w:pPr>
        <w:pStyle w:val="FootnoteText"/>
      </w:pPr>
      <w:r>
        <w:rPr>
          <w:rStyle w:val="FootnoteReference"/>
        </w:rPr>
        <w:footnoteRef/>
      </w:r>
      <w:r>
        <w:t xml:space="preserve"> Darrell L. Bock, “The Reign of the Lord Christ,” in </w:t>
      </w:r>
      <w:proofErr w:type="spellStart"/>
      <w:r w:rsidRPr="00B71CFF">
        <w:rPr>
          <w:i/>
        </w:rPr>
        <w:t>Dispensationalism</w:t>
      </w:r>
      <w:proofErr w:type="spellEnd"/>
      <w:r w:rsidRPr="00B71CFF">
        <w:rPr>
          <w:i/>
        </w:rPr>
        <w:t>, Israel and the Church</w:t>
      </w:r>
      <w:r w:rsidR="00EB30FF">
        <w:t>,</w:t>
      </w:r>
      <w:r>
        <w:t xml:space="preserve"> 65-66.</w:t>
      </w:r>
    </w:p>
  </w:footnote>
  <w:footnote w:id="35">
    <w:p w:rsidR="00111FBB" w:rsidRDefault="00111FBB">
      <w:pPr>
        <w:pStyle w:val="FootnoteText"/>
      </w:pPr>
      <w:r>
        <w:rPr>
          <w:rStyle w:val="FootnoteReference"/>
        </w:rPr>
        <w:footnoteRef/>
      </w:r>
      <w:r>
        <w:t xml:space="preserve"> David L. Turner, “The New Jerusalem in Revelation 21:1-22: Consummation of a Biblical Continuum”, in </w:t>
      </w:r>
      <w:proofErr w:type="spellStart"/>
      <w:r w:rsidRPr="00B71CFF">
        <w:rPr>
          <w:i/>
        </w:rPr>
        <w:t>Dispensationalism</w:t>
      </w:r>
      <w:proofErr w:type="spellEnd"/>
      <w:r w:rsidRPr="00B71CFF">
        <w:rPr>
          <w:i/>
        </w:rPr>
        <w:t>, Israel and the Church</w:t>
      </w:r>
      <w:r w:rsidR="00EB30FF">
        <w:t>,</w:t>
      </w:r>
      <w:r>
        <w:t xml:space="preserve"> 290-291.</w:t>
      </w:r>
    </w:p>
  </w:footnote>
  <w:footnote w:id="36">
    <w:p w:rsidR="00111FBB" w:rsidRDefault="00111FBB">
      <w:pPr>
        <w:pStyle w:val="FootnoteText"/>
      </w:pPr>
      <w:r>
        <w:rPr>
          <w:rStyle w:val="FootnoteReference"/>
        </w:rPr>
        <w:footnoteRef/>
      </w:r>
      <w:r w:rsidR="004956EA">
        <w:t xml:space="preserve"> </w:t>
      </w:r>
      <w:proofErr w:type="gramStart"/>
      <w:r w:rsidR="004956EA">
        <w:t>Ibid.,</w:t>
      </w:r>
      <w:proofErr w:type="gramEnd"/>
      <w:r>
        <w:t xml:space="preserve"> 291.</w:t>
      </w:r>
    </w:p>
  </w:footnote>
  <w:footnote w:id="37">
    <w:p w:rsidR="000154C7" w:rsidRDefault="000154C7">
      <w:pPr>
        <w:pStyle w:val="FootnoteText"/>
      </w:pPr>
      <w:r>
        <w:rPr>
          <w:rStyle w:val="FootnoteReference"/>
        </w:rPr>
        <w:footnoteRef/>
      </w:r>
      <w:r>
        <w:t xml:space="preserve"> </w:t>
      </w:r>
      <w:proofErr w:type="gramStart"/>
      <w:r w:rsidRPr="00EB30FF">
        <w:rPr>
          <w:i/>
        </w:rPr>
        <w:t xml:space="preserve">Progressive </w:t>
      </w:r>
      <w:proofErr w:type="spellStart"/>
      <w:r w:rsidRPr="00EB30FF">
        <w:rPr>
          <w:i/>
        </w:rPr>
        <w:t>Dispensationalism</w:t>
      </w:r>
      <w:proofErr w:type="spellEnd"/>
      <w:r>
        <w:t>, 55.</w:t>
      </w:r>
      <w:proofErr w:type="gramEnd"/>
      <w:r w:rsidR="00266A13">
        <w:t xml:space="preserve">  This chart and th</w:t>
      </w:r>
      <w:r w:rsidR="00FB5880">
        <w:t xml:space="preserve">e following ones for Pentecost and </w:t>
      </w:r>
      <w:r w:rsidR="00266A13">
        <w:t>Ryr</w:t>
      </w:r>
      <w:r w:rsidR="00FB5880">
        <w:t xml:space="preserve">ie </w:t>
      </w:r>
      <w:r w:rsidR="00266A13">
        <w:t xml:space="preserve">are slightly modified versions by Chris Barney found at </w:t>
      </w:r>
      <w:hyperlink r:id="rId7" w:history="1">
        <w:r w:rsidR="00266A13" w:rsidRPr="008D14B5">
          <w:rPr>
            <w:rStyle w:val="Hyperlink"/>
          </w:rPr>
          <w:t>http://20.sharperiron.org/showthread.php?t=941</w:t>
        </w:r>
      </w:hyperlink>
      <w:r w:rsidR="00266A13">
        <w:t>, accessed December 21, 2011.</w:t>
      </w:r>
    </w:p>
  </w:footnote>
  <w:footnote w:id="38">
    <w:p w:rsidR="00E65653" w:rsidRDefault="00E65653">
      <w:pPr>
        <w:pStyle w:val="FootnoteText"/>
      </w:pPr>
      <w:r>
        <w:rPr>
          <w:rStyle w:val="FootnoteReference"/>
        </w:rPr>
        <w:footnoteRef/>
      </w:r>
      <w:r>
        <w:t xml:space="preserve"> </w:t>
      </w:r>
      <w:r w:rsidR="001E37A1">
        <w:t xml:space="preserve">The chart can be found at </w:t>
      </w:r>
      <w:hyperlink r:id="rId8" w:history="1">
        <w:r w:rsidR="001E37A1" w:rsidRPr="008D14B5">
          <w:rPr>
            <w:rStyle w:val="Hyperlink"/>
          </w:rPr>
          <w:t>http://www.blueletterbible.org/faq/dispre.html</w:t>
        </w:r>
      </w:hyperlink>
      <w:r w:rsidR="001E37A1">
        <w:t>, accessed December 21, 2011.</w:t>
      </w:r>
    </w:p>
  </w:footnote>
  <w:footnote w:id="39">
    <w:p w:rsidR="00D8188C" w:rsidRDefault="00D8188C">
      <w:pPr>
        <w:pStyle w:val="FootnoteText"/>
      </w:pPr>
      <w:r>
        <w:rPr>
          <w:rStyle w:val="FootnoteReference"/>
        </w:rPr>
        <w:footnoteRef/>
      </w:r>
      <w:r>
        <w:t xml:space="preserve"> Craig A. </w:t>
      </w:r>
      <w:proofErr w:type="spellStart"/>
      <w:r>
        <w:t>Blaising</w:t>
      </w:r>
      <w:proofErr w:type="spellEnd"/>
      <w:r>
        <w:t xml:space="preserve">, “The Extent and Varieties of </w:t>
      </w:r>
      <w:proofErr w:type="spellStart"/>
      <w:r>
        <w:t>Dispensationalism</w:t>
      </w:r>
      <w:proofErr w:type="spellEnd"/>
      <w:r>
        <w:t xml:space="preserve">”, in </w:t>
      </w:r>
      <w:r w:rsidRPr="00D8188C">
        <w:rPr>
          <w:i/>
        </w:rPr>
        <w:t xml:space="preserve">Progressive </w:t>
      </w:r>
      <w:proofErr w:type="spellStart"/>
      <w:r w:rsidRPr="00D8188C">
        <w:rPr>
          <w:i/>
        </w:rPr>
        <w:t>Dispensationalism</w:t>
      </w:r>
      <w:proofErr w:type="spellEnd"/>
      <w:proofErr w:type="gramStart"/>
      <w:r>
        <w:t>;  see</w:t>
      </w:r>
      <w:proofErr w:type="gramEnd"/>
      <w:r>
        <w:t xml:space="preserve"> </w:t>
      </w:r>
      <w:proofErr w:type="spellStart"/>
      <w:r>
        <w:t>also</w:t>
      </w:r>
      <w:r>
        <w:rPr>
          <w:rStyle w:val="citation"/>
        </w:rPr>
        <w:t>"Changing</w:t>
      </w:r>
      <w:proofErr w:type="spellEnd"/>
      <w:r>
        <w:rPr>
          <w:rStyle w:val="citation"/>
        </w:rPr>
        <w:t xml:space="preserve"> Patterns in American Dispensational Theology", </w:t>
      </w:r>
      <w:r>
        <w:rPr>
          <w:rStyle w:val="citation"/>
          <w:i/>
          <w:iCs/>
        </w:rPr>
        <w:t>Wesleyan Theological Journal</w:t>
      </w:r>
      <w:r>
        <w:rPr>
          <w:rStyle w:val="citation"/>
        </w:rPr>
        <w:t xml:space="preserve"> </w:t>
      </w:r>
      <w:r w:rsidRPr="00D8188C">
        <w:rPr>
          <w:rStyle w:val="citation"/>
          <w:bCs/>
        </w:rPr>
        <w:t>29</w:t>
      </w:r>
      <w:r w:rsidR="00EB30FF">
        <w:rPr>
          <w:rStyle w:val="citation"/>
        </w:rPr>
        <w:t xml:space="preserve">, </w:t>
      </w:r>
      <w:r>
        <w:rPr>
          <w:rStyle w:val="citation"/>
        </w:rPr>
        <w:t>149–64.</w:t>
      </w:r>
    </w:p>
  </w:footnote>
  <w:footnote w:id="40">
    <w:p w:rsidR="00A43219" w:rsidRDefault="00A43219">
      <w:pPr>
        <w:pStyle w:val="FootnoteText"/>
      </w:pPr>
      <w:r>
        <w:rPr>
          <w:rStyle w:val="FootnoteReference"/>
        </w:rPr>
        <w:footnoteRef/>
      </w:r>
      <w:r>
        <w:t xml:space="preserve"> See “Changing Patterns in American Dispensational Theology”.</w:t>
      </w:r>
      <w:r w:rsidR="001C3B26">
        <w:t xml:space="preserve">  Ryrie prefers </w:t>
      </w:r>
      <w:r w:rsidR="00426569">
        <w:t xml:space="preserve">the designation of </w:t>
      </w:r>
      <w:r w:rsidR="001C3B26">
        <w:t xml:space="preserve">normative or traditional </w:t>
      </w:r>
      <w:proofErr w:type="spellStart"/>
      <w:r w:rsidR="001C3B26">
        <w:t>dispensationalism</w:t>
      </w:r>
      <w:proofErr w:type="spellEnd"/>
      <w:r w:rsidR="00426569">
        <w:t xml:space="preserve"> (</w:t>
      </w:r>
      <w:proofErr w:type="spellStart"/>
      <w:r w:rsidR="00426569" w:rsidRPr="00426569">
        <w:rPr>
          <w:i/>
        </w:rPr>
        <w:t>Dispensationalism</w:t>
      </w:r>
      <w:proofErr w:type="spellEnd"/>
      <w:r w:rsidR="00426569">
        <w:t>, 79)</w:t>
      </w:r>
    </w:p>
  </w:footnote>
  <w:footnote w:id="41">
    <w:p w:rsidR="00800E47" w:rsidRDefault="00800E47">
      <w:pPr>
        <w:pStyle w:val="FootnoteText"/>
      </w:pPr>
      <w:r>
        <w:rPr>
          <w:rStyle w:val="FootnoteReference"/>
        </w:rPr>
        <w:footnoteRef/>
      </w:r>
      <w:r>
        <w:t xml:space="preserve"> </w:t>
      </w:r>
      <w:proofErr w:type="gramStart"/>
      <w:r w:rsidR="00EB30FF">
        <w:rPr>
          <w:i/>
        </w:rPr>
        <w:t xml:space="preserve">Progressive </w:t>
      </w:r>
      <w:proofErr w:type="spellStart"/>
      <w:r w:rsidR="00EB30FF">
        <w:rPr>
          <w:i/>
        </w:rPr>
        <w:t>Dispensationalism</w:t>
      </w:r>
      <w:proofErr w:type="spellEnd"/>
      <w:r w:rsidR="00EB30FF">
        <w:rPr>
          <w:i/>
        </w:rPr>
        <w:t>,</w:t>
      </w:r>
      <w:r>
        <w:t xml:space="preserve"> 31.</w:t>
      </w:r>
      <w:proofErr w:type="gramEnd"/>
      <w:r w:rsidR="00AB0D16">
        <w:t xml:space="preserve">  See the following section on Classical Dispensational </w:t>
      </w:r>
      <w:proofErr w:type="spellStart"/>
      <w:r w:rsidR="00AB0D16">
        <w:t>Premillennialism</w:t>
      </w:r>
      <w:proofErr w:type="spellEnd"/>
      <w:r w:rsidR="00AB0D16">
        <w:t>.</w:t>
      </w:r>
    </w:p>
  </w:footnote>
  <w:footnote w:id="42">
    <w:p w:rsidR="00844D8D" w:rsidRDefault="00844D8D">
      <w:pPr>
        <w:pStyle w:val="FootnoteText"/>
      </w:pPr>
      <w:r>
        <w:rPr>
          <w:rStyle w:val="FootnoteReference"/>
        </w:rPr>
        <w:footnoteRef/>
      </w:r>
      <w:r>
        <w:t xml:space="preserve"> See J. Dwight Pentecost, </w:t>
      </w:r>
      <w:r w:rsidRPr="00844D8D">
        <w:rPr>
          <w:i/>
        </w:rPr>
        <w:t>Thy Kingdom Come</w:t>
      </w:r>
      <w:r>
        <w:t xml:space="preserve"> (Wheaton: Victor Books, 1990).</w:t>
      </w:r>
    </w:p>
  </w:footnote>
  <w:footnote w:id="43">
    <w:p w:rsidR="00FE62A8" w:rsidRDefault="00FE62A8">
      <w:pPr>
        <w:pStyle w:val="FootnoteText"/>
      </w:pPr>
      <w:r>
        <w:rPr>
          <w:rStyle w:val="FootnoteReference"/>
        </w:rPr>
        <w:footnoteRef/>
      </w:r>
      <w:r>
        <w:t xml:space="preserve"> </w:t>
      </w:r>
      <w:proofErr w:type="gramStart"/>
      <w:r w:rsidRPr="00FE62A8">
        <w:rPr>
          <w:i/>
        </w:rPr>
        <w:t xml:space="preserve">Progressive </w:t>
      </w:r>
      <w:proofErr w:type="spellStart"/>
      <w:r w:rsidRPr="00FE62A8">
        <w:rPr>
          <w:i/>
        </w:rPr>
        <w:t>Dispensationalism</w:t>
      </w:r>
      <w:proofErr w:type="spellEnd"/>
      <w:r w:rsidR="00EB30FF">
        <w:t>,</w:t>
      </w:r>
      <w:r>
        <w:t xml:space="preserve"> 44.</w:t>
      </w:r>
      <w:proofErr w:type="gramEnd"/>
      <w:r w:rsidR="00266A13">
        <w:t xml:space="preserve"> </w:t>
      </w:r>
    </w:p>
  </w:footnote>
  <w:footnote w:id="44">
    <w:p w:rsidR="005D78F6" w:rsidRDefault="005D78F6">
      <w:pPr>
        <w:pStyle w:val="FootnoteText"/>
      </w:pPr>
      <w:r>
        <w:rPr>
          <w:rStyle w:val="FootnoteReference"/>
        </w:rPr>
        <w:footnoteRef/>
      </w:r>
      <w:r>
        <w:t xml:space="preserve"> See Charles C. Ryrie, </w:t>
      </w:r>
      <w:proofErr w:type="spellStart"/>
      <w:r w:rsidRPr="005D78F6">
        <w:rPr>
          <w:i/>
        </w:rPr>
        <w:t>Dispensationalism</w:t>
      </w:r>
      <w:proofErr w:type="spellEnd"/>
      <w:r>
        <w:t xml:space="preserve"> (Chicago: Moody Publishers, 1995, 2007).</w:t>
      </w:r>
    </w:p>
  </w:footnote>
  <w:footnote w:id="45">
    <w:p w:rsidR="005D78F6" w:rsidRDefault="005D78F6">
      <w:pPr>
        <w:pStyle w:val="FootnoteText"/>
      </w:pPr>
      <w:r>
        <w:rPr>
          <w:rStyle w:val="FootnoteReference"/>
        </w:rPr>
        <w:footnoteRef/>
      </w:r>
      <w:r>
        <w:t xml:space="preserve"> </w:t>
      </w:r>
      <w:proofErr w:type="gramStart"/>
      <w:r w:rsidRPr="005D78F6">
        <w:rPr>
          <w:i/>
        </w:rPr>
        <w:t xml:space="preserve">Progressive </w:t>
      </w:r>
      <w:proofErr w:type="spellStart"/>
      <w:r w:rsidRPr="005D78F6">
        <w:rPr>
          <w:i/>
        </w:rPr>
        <w:t>Dispensationalism</w:t>
      </w:r>
      <w:proofErr w:type="spellEnd"/>
      <w:r w:rsidR="00EB30FF">
        <w:t>,</w:t>
      </w:r>
      <w:r w:rsidR="006E54E7">
        <w:t xml:space="preserve"> </w:t>
      </w:r>
      <w:r>
        <w:t>42.</w:t>
      </w:r>
      <w:proofErr w:type="gramEnd"/>
    </w:p>
  </w:footnote>
  <w:footnote w:id="46">
    <w:p w:rsidR="006F08A6" w:rsidRDefault="006F08A6">
      <w:pPr>
        <w:pStyle w:val="FootnoteText"/>
      </w:pPr>
      <w:r>
        <w:rPr>
          <w:rStyle w:val="FootnoteReference"/>
        </w:rPr>
        <w:footnoteRef/>
      </w:r>
      <w:r>
        <w:t xml:space="preserve"> </w:t>
      </w:r>
      <w:r w:rsidR="00B70843">
        <w:t xml:space="preserve">See </w:t>
      </w:r>
      <w:r>
        <w:t xml:space="preserve">Charles C. Ryrie, </w:t>
      </w:r>
      <w:r w:rsidRPr="006F08A6">
        <w:rPr>
          <w:i/>
        </w:rPr>
        <w:t>What You Should Know about Social Responsibility</w:t>
      </w:r>
      <w:r>
        <w:t xml:space="preserve"> (Chicago: Moody Press, 1982).</w:t>
      </w:r>
    </w:p>
  </w:footnote>
  <w:footnote w:id="47">
    <w:p w:rsidR="00B85D4E" w:rsidRDefault="00B85D4E">
      <w:pPr>
        <w:pStyle w:val="FootnoteText"/>
      </w:pPr>
      <w:r>
        <w:rPr>
          <w:rStyle w:val="FootnoteReference"/>
        </w:rPr>
        <w:footnoteRef/>
      </w:r>
      <w:r>
        <w:t xml:space="preserve"> See John </w:t>
      </w:r>
      <w:proofErr w:type="spellStart"/>
      <w:r>
        <w:t>Walvoord</w:t>
      </w:r>
      <w:proofErr w:type="spellEnd"/>
      <w:r>
        <w:t xml:space="preserve">, </w:t>
      </w:r>
      <w:r w:rsidRPr="00B85D4E">
        <w:rPr>
          <w:i/>
        </w:rPr>
        <w:t>Major Bible Prophecies</w:t>
      </w:r>
      <w:r>
        <w:t xml:space="preserve"> (Grand Rapids; </w:t>
      </w:r>
      <w:proofErr w:type="spellStart"/>
      <w:r>
        <w:t>Zondervan</w:t>
      </w:r>
      <w:proofErr w:type="spellEnd"/>
      <w:r>
        <w:t>, 1991).</w:t>
      </w:r>
    </w:p>
  </w:footnote>
  <w:footnote w:id="48">
    <w:p w:rsidR="00202898" w:rsidRDefault="00202898">
      <w:pPr>
        <w:pStyle w:val="FootnoteText"/>
      </w:pPr>
      <w:r>
        <w:rPr>
          <w:rStyle w:val="FootnoteReference"/>
        </w:rPr>
        <w:footnoteRef/>
      </w:r>
      <w:r>
        <w:t xml:space="preserve"> </w:t>
      </w:r>
      <w:proofErr w:type="gramStart"/>
      <w:r w:rsidRPr="00202898">
        <w:rPr>
          <w:i/>
        </w:rPr>
        <w:t xml:space="preserve">Progressive </w:t>
      </w:r>
      <w:proofErr w:type="spellStart"/>
      <w:r w:rsidRPr="00202898">
        <w:rPr>
          <w:i/>
        </w:rPr>
        <w:t>Dispensationalism</w:t>
      </w:r>
      <w:proofErr w:type="spellEnd"/>
      <w:r>
        <w:t>, 44.</w:t>
      </w:r>
      <w:proofErr w:type="gramEnd"/>
    </w:p>
  </w:footnote>
  <w:footnote w:id="49">
    <w:p w:rsidR="00EF5425" w:rsidRDefault="00EF5425">
      <w:pPr>
        <w:pStyle w:val="FootnoteText"/>
      </w:pPr>
      <w:r>
        <w:rPr>
          <w:rStyle w:val="FootnoteReference"/>
        </w:rPr>
        <w:footnoteRef/>
      </w:r>
      <w:r>
        <w:t xml:space="preserve"> </w:t>
      </w:r>
      <w:r w:rsidR="004A3E54">
        <w:t xml:space="preserve">See </w:t>
      </w:r>
      <w:r>
        <w:t xml:space="preserve">Alva J. McClain, </w:t>
      </w:r>
      <w:r w:rsidRPr="002D66A5">
        <w:rPr>
          <w:i/>
        </w:rPr>
        <w:t>The Greatness of the Kingdom</w:t>
      </w:r>
      <w:r>
        <w:t xml:space="preserve"> (</w:t>
      </w:r>
      <w:r w:rsidR="002D66A5">
        <w:t>Winona Lake, Indiana: BMH Books, 2007 Printing of 1959 edition).</w:t>
      </w:r>
    </w:p>
  </w:footnote>
  <w:footnote w:id="50">
    <w:p w:rsidR="00DE25BB" w:rsidRDefault="00DE25BB">
      <w:pPr>
        <w:pStyle w:val="FootnoteText"/>
      </w:pPr>
      <w:r>
        <w:rPr>
          <w:rStyle w:val="FootnoteReference"/>
        </w:rPr>
        <w:footnoteRef/>
      </w:r>
      <w:r>
        <w:t xml:space="preserve"> </w:t>
      </w:r>
      <w:proofErr w:type="gramStart"/>
      <w:r w:rsidRPr="00815E4A">
        <w:rPr>
          <w:i/>
        </w:rPr>
        <w:t>Prog</w:t>
      </w:r>
      <w:r w:rsidR="00EB30FF">
        <w:rPr>
          <w:i/>
        </w:rPr>
        <w:t>r</w:t>
      </w:r>
      <w:r w:rsidRPr="00815E4A">
        <w:rPr>
          <w:i/>
        </w:rPr>
        <w:t xml:space="preserve">essive </w:t>
      </w:r>
      <w:proofErr w:type="spellStart"/>
      <w:r w:rsidRPr="00815E4A">
        <w:rPr>
          <w:i/>
        </w:rPr>
        <w:t>Dispensationalism</w:t>
      </w:r>
      <w:proofErr w:type="spellEnd"/>
      <w:r>
        <w:t>, 40.</w:t>
      </w:r>
      <w:proofErr w:type="gramEnd"/>
    </w:p>
  </w:footnote>
  <w:footnote w:id="51">
    <w:p w:rsidR="0029137C" w:rsidRDefault="0029137C">
      <w:pPr>
        <w:pStyle w:val="FootnoteText"/>
      </w:pPr>
      <w:r>
        <w:rPr>
          <w:rStyle w:val="FootnoteReference"/>
        </w:rPr>
        <w:footnoteRef/>
      </w:r>
      <w:r>
        <w:t xml:space="preserve"> See Stanley D. Toussaint, </w:t>
      </w:r>
      <w:r w:rsidRPr="0029137C">
        <w:rPr>
          <w:i/>
        </w:rPr>
        <w:t>Behold the King</w:t>
      </w:r>
      <w:r>
        <w:t xml:space="preserve"> (Portland: Multnomah, 1980).  Also “No, Not Yet: The Contingency of God’s Promised Kingdom.”</w:t>
      </w:r>
    </w:p>
  </w:footnote>
  <w:footnote w:id="52">
    <w:p w:rsidR="00131C13" w:rsidRDefault="00131C13">
      <w:pPr>
        <w:pStyle w:val="FootnoteText"/>
      </w:pPr>
      <w:r>
        <w:rPr>
          <w:rStyle w:val="FootnoteReference"/>
        </w:rPr>
        <w:footnoteRef/>
      </w:r>
      <w:r>
        <w:t xml:space="preserve"> See “Changing Patterns in American Dispensational Theology”.</w:t>
      </w:r>
    </w:p>
  </w:footnote>
  <w:footnote w:id="53">
    <w:p w:rsidR="00D71502" w:rsidRDefault="00D71502">
      <w:pPr>
        <w:pStyle w:val="FootnoteText"/>
      </w:pPr>
      <w:r>
        <w:rPr>
          <w:rStyle w:val="FootnoteReference"/>
        </w:rPr>
        <w:footnoteRef/>
      </w:r>
      <w:r>
        <w:t xml:space="preserve"> See</w:t>
      </w:r>
      <w:r w:rsidR="007368DC">
        <w:t xml:space="preserve">, for example, </w:t>
      </w:r>
      <w:r>
        <w:t xml:space="preserve">Lewis Sperry Chafer, </w:t>
      </w:r>
      <w:r w:rsidRPr="00D71502">
        <w:rPr>
          <w:i/>
        </w:rPr>
        <w:t>Systematic Theology</w:t>
      </w:r>
      <w:r>
        <w:t xml:space="preserve"> (Dallas Seminary Press, 1948), 4:401</w:t>
      </w:r>
      <w:r w:rsidR="007368DC">
        <w:t>, 415-419</w:t>
      </w:r>
      <w:r>
        <w:t>.</w:t>
      </w:r>
      <w:r w:rsidR="005E79F7">
        <w:t xml:space="preserve"> Frank D. </w:t>
      </w:r>
      <w:proofErr w:type="spellStart"/>
      <w:r w:rsidR="005E79F7">
        <w:t>Carmical</w:t>
      </w:r>
      <w:proofErr w:type="spellEnd"/>
      <w:r w:rsidR="005E79F7">
        <w:t xml:space="preserve">, </w:t>
      </w:r>
      <w:r w:rsidR="005E79F7" w:rsidRPr="001805AD">
        <w:rPr>
          <w:i/>
        </w:rPr>
        <w:t xml:space="preserve">The Omega </w:t>
      </w:r>
      <w:proofErr w:type="gramStart"/>
      <w:r w:rsidR="005E79F7" w:rsidRPr="001805AD">
        <w:rPr>
          <w:i/>
        </w:rPr>
        <w:t>Reunion</w:t>
      </w:r>
      <w:r w:rsidR="005E79F7">
        <w:t xml:space="preserve">  (</w:t>
      </w:r>
      <w:proofErr w:type="gramEnd"/>
      <w:r w:rsidR="005E79F7">
        <w:t xml:space="preserve">Dallas: </w:t>
      </w:r>
      <w:proofErr w:type="spellStart"/>
      <w:r w:rsidR="005E79F7">
        <w:t>Redencion</w:t>
      </w:r>
      <w:proofErr w:type="spellEnd"/>
      <w:r w:rsidR="005E79F7">
        <w:t xml:space="preserve"> Viva, 1986)</w:t>
      </w:r>
      <w:r w:rsidR="009202A9">
        <w:t>,</w:t>
      </w:r>
      <w:r w:rsidR="005E79F7">
        <w:t xml:space="preserve"> </w:t>
      </w:r>
      <w:r w:rsidR="002E14E4">
        <w:t>appears to reflect</w:t>
      </w:r>
      <w:r w:rsidR="005E79F7">
        <w:t xml:space="preserve"> one form of the classical dispensational view</w:t>
      </w:r>
      <w:r w:rsidR="00714BB3">
        <w:t xml:space="preserve"> of an earthly people and a heavenly people</w:t>
      </w:r>
      <w:r w:rsidR="005E79F7">
        <w:t xml:space="preserve"> in </w:t>
      </w:r>
      <w:r w:rsidR="009202A9">
        <w:t>a fictional work.</w:t>
      </w:r>
      <w:r w:rsidR="000E5595">
        <w:t xml:space="preserve">  Bob Bryant </w:t>
      </w:r>
      <w:r w:rsidR="00790B0B">
        <w:t xml:space="preserve">pastor of Cypress Valley Bible Church in Marshall, Texas, </w:t>
      </w:r>
      <w:r w:rsidR="000E5595">
        <w:t xml:space="preserve">presented a paper with a similar view at the 2009 Grace Evangelical Society Conference: </w:t>
      </w:r>
      <w:r w:rsidR="00FD6842">
        <w:t>“</w:t>
      </w:r>
      <w:r w:rsidR="000E5595" w:rsidRPr="00FD6842">
        <w:t>The Unique, Eternal Role of Resurrected People</w:t>
      </w:r>
      <w:r w:rsidR="00790B0B">
        <w:t>.</w:t>
      </w:r>
      <w:r w:rsidR="00FD6842">
        <w:t>”</w:t>
      </w:r>
      <w:r w:rsidR="00CD38B2">
        <w:t xml:space="preserve">  See also</w:t>
      </w:r>
      <w:r w:rsidR="0096746D">
        <w:t xml:space="preserve"> comments on Revelation 21:24 by</w:t>
      </w:r>
      <w:r w:rsidR="00CD38B2">
        <w:t xml:space="preserve"> Robert </w:t>
      </w:r>
      <w:proofErr w:type="spellStart"/>
      <w:r w:rsidR="00CD38B2">
        <w:t>Vacendak</w:t>
      </w:r>
      <w:proofErr w:type="spellEnd"/>
      <w:r w:rsidR="00CD38B2">
        <w:t xml:space="preserve">, “Revelation” in </w:t>
      </w:r>
      <w:r w:rsidR="00CD38B2" w:rsidRPr="00C4715A">
        <w:rPr>
          <w:i/>
        </w:rPr>
        <w:t>The Grace New Testament Commentary</w:t>
      </w:r>
      <w:r w:rsidR="00CD38B2">
        <w:t xml:space="preserve"> (Denton, TX: Grace Evangelical Society, 20</w:t>
      </w:r>
      <w:r w:rsidR="00EB30FF">
        <w:t xml:space="preserve">10), </w:t>
      </w:r>
      <w:r w:rsidR="00CD38B2">
        <w:t>1330.</w:t>
      </w:r>
    </w:p>
  </w:footnote>
  <w:footnote w:id="54">
    <w:p w:rsidR="00AA6EF4" w:rsidRDefault="00AA6EF4">
      <w:pPr>
        <w:pStyle w:val="FootnoteText"/>
      </w:pPr>
      <w:r>
        <w:rPr>
          <w:rStyle w:val="FootnoteReference"/>
        </w:rPr>
        <w:footnoteRef/>
      </w:r>
      <w:r>
        <w:t xml:space="preserve"> </w:t>
      </w:r>
      <w:r w:rsidRPr="00AA6EF4">
        <w:rPr>
          <w:i/>
        </w:rPr>
        <w:t xml:space="preserve">Progressive </w:t>
      </w:r>
      <w:proofErr w:type="spellStart"/>
      <w:r w:rsidRPr="00AA6EF4">
        <w:rPr>
          <w:i/>
        </w:rPr>
        <w:t>Dispensationalism</w:t>
      </w:r>
      <w:proofErr w:type="spellEnd"/>
      <w:r w:rsidR="00EB30FF">
        <w:t>,</w:t>
      </w:r>
      <w:r>
        <w:t xml:space="preserve"> 23-24.</w:t>
      </w:r>
    </w:p>
  </w:footnote>
  <w:footnote w:id="55">
    <w:p w:rsidR="008F3A71" w:rsidRDefault="008F3A71">
      <w:pPr>
        <w:pStyle w:val="FootnoteText"/>
      </w:pPr>
      <w:r>
        <w:rPr>
          <w:rStyle w:val="FootnoteReference"/>
        </w:rPr>
        <w:footnoteRef/>
      </w:r>
      <w:r>
        <w:t xml:space="preserve"> </w:t>
      </w:r>
      <w:proofErr w:type="spellStart"/>
      <w:r>
        <w:t>Blaising</w:t>
      </w:r>
      <w:proofErr w:type="spellEnd"/>
      <w:r>
        <w:t xml:space="preserve"> does not name or quote adherents of this view.  Two are J. A. </w:t>
      </w:r>
      <w:proofErr w:type="spellStart"/>
      <w:r>
        <w:t>Seiss</w:t>
      </w:r>
      <w:proofErr w:type="spellEnd"/>
      <w:r>
        <w:t xml:space="preserve"> and Clarence Larkin.  Larkin wrote, “Shall not God then during the “renovation of the Earth by Fire,” in some manner, not as yet revealed, take off righteous representatives of the Millennial nations that he purposes to save, and when the earth is again fit to be the abode of men, place them back on the New Earth, that they may increase and multiply and replenish it, as Adam (Gen. 1:27-28), and Noah (Gen. 9:1), were told  to multiply and replenish the present earth</w:t>
      </w:r>
      <w:r w:rsidR="004E28C4">
        <w:t xml:space="preserve">….When this Earth shall have gone through its “baptism of Fire,” </w:t>
      </w:r>
      <w:r w:rsidR="003A45CD">
        <w:t xml:space="preserve">and shall be again fit for the </w:t>
      </w:r>
      <w:r w:rsidR="004E28C4">
        <w:t>occupancy of man, the representatives of the “Saved Nations” (Rev. 21:24) will be men and women in whom no taint of sin will remain, and who cannot therefore impart it to their offspring, who will be like the offspring of Adam and Eve would have been if they had not sinned.</w:t>
      </w:r>
      <w:r>
        <w:t>”</w:t>
      </w:r>
      <w:r w:rsidR="00B00E55">
        <w:t>—</w:t>
      </w:r>
      <w:r>
        <w:t xml:space="preserve">Clarence Larkin, </w:t>
      </w:r>
      <w:r w:rsidRPr="004E28C4">
        <w:rPr>
          <w:i/>
        </w:rPr>
        <w:t xml:space="preserve">The Book of </w:t>
      </w:r>
      <w:proofErr w:type="gramStart"/>
      <w:r w:rsidRPr="004E28C4">
        <w:rPr>
          <w:i/>
        </w:rPr>
        <w:t>Revelation</w:t>
      </w:r>
      <w:r w:rsidR="00EB30FF">
        <w:t xml:space="preserve">  (</w:t>
      </w:r>
      <w:proofErr w:type="gramEnd"/>
      <w:r w:rsidR="00EB30FF">
        <w:t>Published 1919 by C. Larkin),</w:t>
      </w:r>
      <w:r w:rsidR="004E28C4">
        <w:t xml:space="preserve"> 206, 207.  </w:t>
      </w:r>
      <w:proofErr w:type="spellStart"/>
      <w:r w:rsidR="004E28C4">
        <w:t>Seiss</w:t>
      </w:r>
      <w:proofErr w:type="spellEnd"/>
      <w:r w:rsidR="004E28C4">
        <w:t xml:space="preserve"> wrote, “</w:t>
      </w:r>
      <w:r w:rsidR="003A45CD">
        <w:t>I therefore hold it to be a necessary and integral part of the Scriptural doctrine of human redemption, that our race, as a self-multiplying order of beings, will never cease either to exist or to possess the earth….Ransomed nations in the flesh are therefore among the occupants of the new earth, and the blessed and happy dwellers in it, as Adam and Eve dwelt in Paradise.”</w:t>
      </w:r>
      <w:r w:rsidR="00B00E55">
        <w:t>—</w:t>
      </w:r>
      <w:r w:rsidR="003A45CD">
        <w:t xml:space="preserve">J. A. </w:t>
      </w:r>
      <w:proofErr w:type="spellStart"/>
      <w:r w:rsidR="003A45CD">
        <w:t>Seiss</w:t>
      </w:r>
      <w:proofErr w:type="spellEnd"/>
      <w:r w:rsidR="003A45CD">
        <w:t xml:space="preserve">, </w:t>
      </w:r>
      <w:proofErr w:type="gramStart"/>
      <w:r w:rsidR="003A45CD" w:rsidRPr="003A45CD">
        <w:rPr>
          <w:i/>
        </w:rPr>
        <w:t>The</w:t>
      </w:r>
      <w:proofErr w:type="gramEnd"/>
      <w:r w:rsidR="003A45CD" w:rsidRPr="003A45CD">
        <w:rPr>
          <w:i/>
        </w:rPr>
        <w:t xml:space="preserve"> Apocalypse: Lectures on the Book of Revelation</w:t>
      </w:r>
      <w:r w:rsidR="003A45CD">
        <w:t xml:space="preserve"> (Grand Rapids, MI: </w:t>
      </w:r>
      <w:proofErr w:type="spellStart"/>
      <w:r w:rsidR="003A45CD">
        <w:t>Zonderva</w:t>
      </w:r>
      <w:r w:rsidR="00EB30FF">
        <w:t>n</w:t>
      </w:r>
      <w:proofErr w:type="spellEnd"/>
      <w:r w:rsidR="00EB30FF">
        <w:t xml:space="preserve"> Publishing House, 1900, 1977),</w:t>
      </w:r>
      <w:r w:rsidR="003A45CD">
        <w:t xml:space="preserve"> 483, 492.  John </w:t>
      </w:r>
      <w:proofErr w:type="spellStart"/>
      <w:r w:rsidR="003A45CD">
        <w:t>Walvoord</w:t>
      </w:r>
      <w:proofErr w:type="spellEnd"/>
      <w:r w:rsidR="003A45CD">
        <w:t>, a revised dispensationalist, rejects this view.</w:t>
      </w:r>
      <w:r w:rsidR="00697104">
        <w:t xml:space="preserve">  He wrote, “Larkin introduces the startling point of view that children will be born in the eternal state </w:t>
      </w:r>
      <w:proofErr w:type="gramStart"/>
      <w:r w:rsidR="00697104">
        <w:t>who</w:t>
      </w:r>
      <w:proofErr w:type="gramEnd"/>
      <w:r w:rsidR="00697104">
        <w:t xml:space="preserve"> unlike the posterity of Adam and Eve will be sinless.  There is no indication whatever in Scripture that resurrected and translated being have the quality of human sex, much less the capacity to produce offspring.”—John F. </w:t>
      </w:r>
      <w:proofErr w:type="spellStart"/>
      <w:r w:rsidR="00697104">
        <w:t>Walvoord</w:t>
      </w:r>
      <w:proofErr w:type="spellEnd"/>
      <w:r w:rsidR="00697104">
        <w:t xml:space="preserve">, </w:t>
      </w:r>
      <w:proofErr w:type="gramStart"/>
      <w:r w:rsidR="00697104" w:rsidRPr="00697104">
        <w:rPr>
          <w:i/>
        </w:rPr>
        <w:t>The</w:t>
      </w:r>
      <w:proofErr w:type="gramEnd"/>
      <w:r w:rsidR="00697104" w:rsidRPr="00697104">
        <w:rPr>
          <w:i/>
        </w:rPr>
        <w:t xml:space="preserve"> Revelation of Jesus Christ</w:t>
      </w:r>
      <w:r w:rsidR="00697104">
        <w:t xml:space="preserve"> (</w:t>
      </w:r>
      <w:r w:rsidR="00EB30FF">
        <w:t>Chicago, IL: Moody Press, 1966),</w:t>
      </w:r>
      <w:r w:rsidR="00697104">
        <w:t xml:space="preserve"> 327.  Larkin did not say, as </w:t>
      </w:r>
      <w:proofErr w:type="spellStart"/>
      <w:r w:rsidR="00697104">
        <w:t>Walvoord</w:t>
      </w:r>
      <w:proofErr w:type="spellEnd"/>
      <w:r w:rsidR="00697104">
        <w:t xml:space="preserve"> implies, that resurrected and translated beings produced offspring; he said representatives of the </w:t>
      </w:r>
      <w:proofErr w:type="gramStart"/>
      <w:r w:rsidR="00697104">
        <w:t>Millennial</w:t>
      </w:r>
      <w:proofErr w:type="gramEnd"/>
      <w:r w:rsidR="00697104">
        <w:t xml:space="preserve"> nations do so.</w:t>
      </w:r>
      <w:r w:rsidR="00B00E55">
        <w:t xml:space="preserve">  </w:t>
      </w:r>
      <w:r w:rsidR="0022510D">
        <w:t xml:space="preserve">Jerome Smith </w:t>
      </w:r>
      <w:r w:rsidR="00B00E55">
        <w:t>clarifies, “There are two classes of people who will live eternally upon the earth: (1) the saints, who as co-heirs with Christ (Rom. 8:17) are given glorified bodies (1 Cor. 15:52), who possess the kingdom (Dan. 7:18) and r</w:t>
      </w:r>
      <w:r w:rsidR="00CF2D1B">
        <w:t>ule over the kingdom (Rev. 20:4, 6</w:t>
      </w:r>
      <w:r w:rsidR="00B00E55">
        <w:t>) as its inheritors (Matt. 25:34); (2) natural people,  described here [1 Cor. 15:52] as “flesh and blood” who are the eternal subjects of the kingdom</w:t>
      </w:r>
      <w:r w:rsidR="0022510D">
        <w:t xml:space="preserve">, who eternally perpetuate the natural race of earthly men in the flesh.”—Jerome Smith, </w:t>
      </w:r>
      <w:proofErr w:type="gramStart"/>
      <w:r w:rsidR="0022510D" w:rsidRPr="0022510D">
        <w:rPr>
          <w:i/>
        </w:rPr>
        <w:t>The</w:t>
      </w:r>
      <w:proofErr w:type="gramEnd"/>
      <w:r w:rsidR="0022510D" w:rsidRPr="0022510D">
        <w:rPr>
          <w:i/>
        </w:rPr>
        <w:t xml:space="preserve"> New Treasury of Scripture Knowledge</w:t>
      </w:r>
      <w:r w:rsidR="0022510D">
        <w:t xml:space="preserve"> (Nashville, TN: </w:t>
      </w:r>
      <w:r w:rsidR="00D82646">
        <w:t>Thomas Nelson Publishers, 1992),</w:t>
      </w:r>
      <w:r w:rsidR="0022510D">
        <w:t xml:space="preserve"> </w:t>
      </w:r>
      <w:r w:rsidR="00D82646">
        <w:t>“</w:t>
      </w:r>
      <w:r w:rsidR="0022510D">
        <w:t xml:space="preserve">1 </w:t>
      </w:r>
      <w:proofErr w:type="spellStart"/>
      <w:r w:rsidR="0022510D">
        <w:t>Cor</w:t>
      </w:r>
      <w:proofErr w:type="spellEnd"/>
      <w:r w:rsidR="0022510D">
        <w:t xml:space="preserve"> 15:50</w:t>
      </w:r>
      <w:r w:rsidR="00EB30FF">
        <w:t xml:space="preserve">”, </w:t>
      </w:r>
      <w:r w:rsidR="00D82646">
        <w:t>1349</w:t>
      </w:r>
      <w:r w:rsidR="0022510D">
        <w:t>.</w:t>
      </w:r>
      <w:r w:rsidR="00CD38B2">
        <w:t xml:space="preserve">  </w:t>
      </w:r>
      <w:r w:rsidR="003114C2">
        <w:t>Robert Thomas concurs, “</w:t>
      </w:r>
      <w:r w:rsidR="00D82646">
        <w:t>In fact, t</w:t>
      </w:r>
      <w:r w:rsidR="003114C2">
        <w:t>his is an issue on which the text of Revelation is silent, bu</w:t>
      </w:r>
      <w:r w:rsidR="00D82646">
        <w:t xml:space="preserve">t there is one further </w:t>
      </w:r>
      <w:r w:rsidR="003114C2">
        <w:t xml:space="preserve">theory which seems to satisfy the available criteria </w:t>
      </w:r>
      <w:r w:rsidR="00D82646">
        <w:t>best. (10)</w:t>
      </w:r>
      <w:r w:rsidR="003114C2">
        <w:t>This opinion holds that ‘the nations’ are composed of saved people who survive the millennial kingdom without dying and without joining Satan’s rebellion and who undergo some sort of transformation that suits them for life in the eternal state.  They will be like Adam and Eve in the Garden of Eden pr</w:t>
      </w:r>
      <w:r w:rsidR="001709D4">
        <w:t>i</w:t>
      </w:r>
      <w:r w:rsidR="003114C2">
        <w:t xml:space="preserve">or to the fall (cf. </w:t>
      </w:r>
      <w:proofErr w:type="spellStart"/>
      <w:r w:rsidR="003114C2">
        <w:t>Govett</w:t>
      </w:r>
      <w:proofErr w:type="spellEnd"/>
      <w:r w:rsidR="003114C2">
        <w:t xml:space="preserve">, </w:t>
      </w:r>
      <w:proofErr w:type="spellStart"/>
      <w:r w:rsidR="003114C2">
        <w:t>Seiss</w:t>
      </w:r>
      <w:proofErr w:type="spellEnd"/>
      <w:r w:rsidR="003114C2">
        <w:t xml:space="preserve">).  They will </w:t>
      </w:r>
      <w:r w:rsidR="005D757D">
        <w:t xml:space="preserve">be </w:t>
      </w:r>
      <w:proofErr w:type="spellStart"/>
      <w:r w:rsidR="005D757D">
        <w:t>unresurrected</w:t>
      </w:r>
      <w:proofErr w:type="spellEnd"/>
      <w:r w:rsidR="005D757D">
        <w:t xml:space="preserve"> human beings who will inhabit the new earth</w:t>
      </w:r>
      <w:r w:rsidR="00FC52D9">
        <w:t>, Paradise restored (Rev. 22:1-5</w:t>
      </w:r>
      <w:r w:rsidR="005D757D">
        <w:t>), throughout eternity.</w:t>
      </w:r>
      <w:r w:rsidR="00E53C63">
        <w:t xml:space="preserve"> These will</w:t>
      </w:r>
      <w:r w:rsidR="00D1420B">
        <w:t xml:space="preserve"> be t</w:t>
      </w:r>
      <w:r w:rsidR="00CF2D1B">
        <w:t>he ones over whom God’s resurrected saints will reign (22:5).  Nations, peoples and men on earth must continue in the flesh as Adam and Eve did before the fall (</w:t>
      </w:r>
      <w:proofErr w:type="spellStart"/>
      <w:r w:rsidR="00CF2D1B">
        <w:t>Seiss</w:t>
      </w:r>
      <w:proofErr w:type="spellEnd"/>
      <w:r w:rsidR="00CF2D1B">
        <w:t>).</w:t>
      </w:r>
      <w:r w:rsidR="005D757D">
        <w:t xml:space="preserve">” – Robert L. Thomas, </w:t>
      </w:r>
      <w:r w:rsidR="005D757D" w:rsidRPr="005D757D">
        <w:rPr>
          <w:i/>
        </w:rPr>
        <w:t>Revelation 8-22</w:t>
      </w:r>
      <w:r w:rsidR="005D757D">
        <w:t xml:space="preserve"> (Chicago, Il</w:t>
      </w:r>
      <w:r w:rsidR="00CF2D1B">
        <w:t>: Moody Press,</w:t>
      </w:r>
      <w:r w:rsidR="00EB30FF">
        <w:t xml:space="preserve"> 1995),</w:t>
      </w:r>
      <w:r w:rsidR="00CF2D1B">
        <w:t xml:space="preserve"> 478</w:t>
      </w:r>
      <w:r w:rsidR="005D757D">
        <w:t xml:space="preserve">. </w:t>
      </w:r>
      <w:r w:rsidR="00D1420B">
        <w:t xml:space="preserve"> </w:t>
      </w:r>
      <w:r w:rsidR="00CF2D1B">
        <w:t>Herman</w:t>
      </w:r>
      <w:r w:rsidR="00D1420B">
        <w:t xml:space="preserve"> </w:t>
      </w:r>
      <w:r w:rsidR="00CF2D1B">
        <w:t xml:space="preserve">Hoyt, president of Grace College and Theological Seminary from 1962 to 1976 strongly argued for this view – See Herman A. Hoyt, </w:t>
      </w:r>
      <w:r w:rsidR="00CF2D1B" w:rsidRPr="00CF2D1B">
        <w:rPr>
          <w:i/>
        </w:rPr>
        <w:t>The End Times</w:t>
      </w:r>
      <w:r w:rsidR="00EB30FF">
        <w:t xml:space="preserve"> (Chicago: Moody Press, 1969), </w:t>
      </w:r>
      <w:proofErr w:type="gramStart"/>
      <w:r w:rsidR="00CF2D1B">
        <w:t>229</w:t>
      </w:r>
      <w:proofErr w:type="gramEnd"/>
      <w:r w:rsidR="00CF2D1B">
        <w:t xml:space="preserve">-233. </w:t>
      </w:r>
      <w:r w:rsidR="00D1420B">
        <w:t xml:space="preserve"> F. S. Elmore links Hoyt with Darby, “Hoyt agreed with Darby that there would be saints living in their natural state forever, thus allowing for two modes of life in the eternal state.”</w:t>
      </w:r>
      <w:r w:rsidR="00073C96">
        <w:t xml:space="preserve"> – F. S. Elmore, “A critical Examination of the Doctrine of the Two Peoples of God in John Nelson Darby” (Th.D. diss., Dallas Theological Seminary, 1990), 305. </w:t>
      </w:r>
      <w:r w:rsidR="00CF2D1B">
        <w:t xml:space="preserve"> </w:t>
      </w:r>
      <w:r w:rsidR="00E53C63">
        <w:t xml:space="preserve">Two older writers who advanced this view </w:t>
      </w:r>
      <w:r w:rsidR="0037657E">
        <w:t xml:space="preserve">are Robert </w:t>
      </w:r>
      <w:proofErr w:type="spellStart"/>
      <w:r w:rsidR="0037657E">
        <w:t>Govet</w:t>
      </w:r>
      <w:r w:rsidR="00E53C63">
        <w:t>t</w:t>
      </w:r>
      <w:proofErr w:type="spellEnd"/>
      <w:r w:rsidR="00E53C63">
        <w:t xml:space="preserve">, </w:t>
      </w:r>
      <w:proofErr w:type="spellStart"/>
      <w:r w:rsidR="00E53C63" w:rsidRPr="004F37A8">
        <w:rPr>
          <w:i/>
        </w:rPr>
        <w:t>Govett</w:t>
      </w:r>
      <w:proofErr w:type="spellEnd"/>
      <w:r w:rsidR="00E53C63" w:rsidRPr="004F37A8">
        <w:rPr>
          <w:i/>
        </w:rPr>
        <w:t xml:space="preserve"> on Revelation</w:t>
      </w:r>
      <w:r w:rsidR="00E53C63">
        <w:t xml:space="preserve"> (Conley &amp; </w:t>
      </w:r>
      <w:proofErr w:type="spellStart"/>
      <w:r w:rsidR="00E53C63">
        <w:t>Schoettle</w:t>
      </w:r>
      <w:proofErr w:type="spellEnd"/>
      <w:r w:rsidR="00E53C63">
        <w:t xml:space="preserve"> Publishing Co., 1981, formerly published in London, England, 1861, under the title,</w:t>
      </w:r>
      <w:r w:rsidR="004F37A8">
        <w:t xml:space="preserve"> </w:t>
      </w:r>
      <w:r w:rsidR="004F37A8" w:rsidRPr="00D1420B">
        <w:rPr>
          <w:i/>
        </w:rPr>
        <w:t xml:space="preserve">THE APOCALYPSE: </w:t>
      </w:r>
      <w:r w:rsidR="00E53C63" w:rsidRPr="00D1420B">
        <w:rPr>
          <w:i/>
        </w:rPr>
        <w:t>Expounded by Scripture</w:t>
      </w:r>
      <w:r w:rsidR="00E53C63">
        <w:t xml:space="preserve">, </w:t>
      </w:r>
      <w:r w:rsidR="00EB30FF">
        <w:t xml:space="preserve">under the pseudonym </w:t>
      </w:r>
      <w:proofErr w:type="spellStart"/>
      <w:r w:rsidR="00EB30FF">
        <w:t>Matheetees</w:t>
      </w:r>
      <w:proofErr w:type="spellEnd"/>
      <w:r w:rsidR="00EB30FF">
        <w:t>),</w:t>
      </w:r>
      <w:r w:rsidR="00E53C63">
        <w:t xml:space="preserve"> IV 472, 475</w:t>
      </w:r>
      <w:r w:rsidR="004F37A8">
        <w:t xml:space="preserve"> and E. W. </w:t>
      </w:r>
      <w:proofErr w:type="spellStart"/>
      <w:r w:rsidR="004F37A8">
        <w:t>Bullinger</w:t>
      </w:r>
      <w:proofErr w:type="spellEnd"/>
      <w:r w:rsidR="004F37A8">
        <w:t xml:space="preserve">, </w:t>
      </w:r>
      <w:r w:rsidR="004F37A8" w:rsidRPr="00D1420B">
        <w:rPr>
          <w:i/>
        </w:rPr>
        <w:t>The Apocalypse</w:t>
      </w:r>
      <w:r w:rsidR="004F37A8">
        <w:t xml:space="preserve"> (Samuel, </w:t>
      </w:r>
      <w:proofErr w:type="spellStart"/>
      <w:r w:rsidR="004F37A8">
        <w:t>Bogs</w:t>
      </w:r>
      <w:r w:rsidR="00EB30FF">
        <w:t>ten</w:t>
      </w:r>
      <w:proofErr w:type="spellEnd"/>
      <w:r w:rsidR="00EB30FF">
        <w:t xml:space="preserve"> &amp; Sons LTD, Reprinted 1972), </w:t>
      </w:r>
      <w:r w:rsidR="004F37A8">
        <w:t>668.</w:t>
      </w:r>
      <w:r w:rsidR="00D1420B">
        <w:t xml:space="preserve">  </w:t>
      </w:r>
      <w:r w:rsidR="00CD38B2">
        <w:t xml:space="preserve">See note 53 for </w:t>
      </w:r>
      <w:r w:rsidR="00926301">
        <w:t xml:space="preserve">some </w:t>
      </w:r>
      <w:r w:rsidR="00076AC4">
        <w:t xml:space="preserve">contemporary </w:t>
      </w:r>
      <w:r w:rsidR="00926301">
        <w:t>free grace</w:t>
      </w:r>
      <w:r w:rsidR="00CD38B2">
        <w:t xml:space="preserve"> adherents of this view.</w:t>
      </w:r>
      <w:r w:rsidR="00073C96">
        <w:t xml:space="preserve">  The two main arguments advanced for the view are (1) the distinction is suggested by Scripture, and (2) the distinction is suggested theologically by the ultimate fulfillment of God’s original creative purpose.</w:t>
      </w:r>
    </w:p>
  </w:footnote>
  <w:footnote w:id="56">
    <w:p w:rsidR="00B475D6" w:rsidRDefault="00B475D6">
      <w:pPr>
        <w:pStyle w:val="FootnoteText"/>
      </w:pPr>
      <w:r>
        <w:rPr>
          <w:rStyle w:val="FootnoteReference"/>
        </w:rPr>
        <w:footnoteRef/>
      </w:r>
      <w:r>
        <w:t xml:space="preserve"> </w:t>
      </w:r>
      <w:proofErr w:type="gramStart"/>
      <w:r w:rsidRPr="00B475D6">
        <w:rPr>
          <w:i/>
        </w:rPr>
        <w:t xml:space="preserve">Progressive </w:t>
      </w:r>
      <w:proofErr w:type="spellStart"/>
      <w:r w:rsidRPr="00B475D6">
        <w:rPr>
          <w:i/>
        </w:rPr>
        <w:t>Dispensationalism</w:t>
      </w:r>
      <w:proofErr w:type="spellEnd"/>
      <w:r w:rsidR="00EB30FF">
        <w:t>,</w:t>
      </w:r>
      <w:r>
        <w:t xml:space="preserve"> 27.</w:t>
      </w:r>
      <w:proofErr w:type="gramEnd"/>
      <w:r w:rsidR="003A45CD">
        <w:t xml:space="preserve"> </w:t>
      </w:r>
    </w:p>
  </w:footnote>
  <w:footnote w:id="57">
    <w:p w:rsidR="002716C9" w:rsidRDefault="002716C9">
      <w:pPr>
        <w:pStyle w:val="FootnoteText"/>
      </w:pPr>
      <w:r>
        <w:rPr>
          <w:rStyle w:val="FootnoteReference"/>
        </w:rPr>
        <w:footnoteRef/>
      </w:r>
      <w:r>
        <w:t xml:space="preserve"> </w:t>
      </w:r>
      <w:proofErr w:type="gramStart"/>
      <w:r w:rsidR="000C6D7F">
        <w:t>Ibid.,</w:t>
      </w:r>
      <w:proofErr w:type="gramEnd"/>
      <w:r>
        <w:t xml:space="preserve"> 25.</w:t>
      </w:r>
    </w:p>
  </w:footnote>
  <w:footnote w:id="58">
    <w:p w:rsidR="00AC6267" w:rsidRDefault="00AC6267">
      <w:pPr>
        <w:pStyle w:val="FootnoteText"/>
      </w:pPr>
      <w:r>
        <w:rPr>
          <w:rStyle w:val="FootnoteReference"/>
        </w:rPr>
        <w:footnoteRef/>
      </w:r>
      <w:r>
        <w:t xml:space="preserve"> See his “Summary Essay” in </w:t>
      </w:r>
      <w:r>
        <w:rPr>
          <w:i/>
        </w:rPr>
        <w:t>Three Views</w:t>
      </w:r>
      <w:r w:rsidRPr="00AC6267">
        <w:rPr>
          <w:i/>
        </w:rPr>
        <w:t xml:space="preserve"> on the Millennium and Beyond</w:t>
      </w:r>
      <w:r w:rsidR="004C77E6">
        <w:t>,</w:t>
      </w:r>
      <w:r>
        <w:t xml:space="preserve"> 306-307.</w:t>
      </w:r>
      <w:r w:rsidR="006935A6">
        <w:t xml:space="preserve">  See also Craig </w:t>
      </w:r>
      <w:proofErr w:type="spellStart"/>
      <w:r w:rsidR="006935A6">
        <w:t>Blaising’s</w:t>
      </w:r>
      <w:proofErr w:type="spellEnd"/>
      <w:r w:rsidR="006935A6">
        <w:t xml:space="preserve"> discussion in </w:t>
      </w:r>
      <w:r w:rsidR="006935A6" w:rsidRPr="006935A6">
        <w:rPr>
          <w:i/>
        </w:rPr>
        <w:t xml:space="preserve">Progressive </w:t>
      </w:r>
      <w:proofErr w:type="spellStart"/>
      <w:r w:rsidR="006935A6" w:rsidRPr="006935A6">
        <w:rPr>
          <w:i/>
        </w:rPr>
        <w:t>Dispensationalism</w:t>
      </w:r>
      <w:proofErr w:type="spellEnd"/>
      <w:r w:rsidR="004C77E6">
        <w:t xml:space="preserve">, </w:t>
      </w:r>
      <w:r w:rsidR="006935A6">
        <w:t>285-290.</w:t>
      </w:r>
    </w:p>
  </w:footnote>
  <w:footnote w:id="59">
    <w:p w:rsidR="00FB2D57" w:rsidRDefault="00FB2D57">
      <w:pPr>
        <w:pStyle w:val="FootnoteText"/>
      </w:pPr>
      <w:r>
        <w:rPr>
          <w:rStyle w:val="FootnoteReference"/>
        </w:rPr>
        <w:footnoteRef/>
      </w:r>
      <w:r>
        <w:t xml:space="preserve"> For a contrast of the postmillennial and </w:t>
      </w:r>
      <w:proofErr w:type="spellStart"/>
      <w:r>
        <w:t>premillennial</w:t>
      </w:r>
      <w:proofErr w:type="spellEnd"/>
      <w:r>
        <w:t xml:space="preserve"> view of law and government see Norman L. </w:t>
      </w:r>
      <w:proofErr w:type="spellStart"/>
      <w:r>
        <w:t>Geisler</w:t>
      </w:r>
      <w:proofErr w:type="spellEnd"/>
      <w:r>
        <w:t xml:space="preserve">, “A </w:t>
      </w:r>
      <w:proofErr w:type="spellStart"/>
      <w:r>
        <w:t>Premillennial</w:t>
      </w:r>
      <w:proofErr w:type="spellEnd"/>
      <w:r>
        <w:t xml:space="preserve"> View of Law and Government” </w:t>
      </w:r>
      <w:r w:rsidRPr="00FB2D57">
        <w:rPr>
          <w:i/>
        </w:rPr>
        <w:t>Bibliotheca Sacra</w:t>
      </w:r>
      <w:r>
        <w:t xml:space="preserve"> (July-September 1985: 250-266).</w:t>
      </w:r>
    </w:p>
  </w:footnote>
  <w:footnote w:id="60">
    <w:p w:rsidR="00630CC9" w:rsidRPr="000F0C05" w:rsidRDefault="00630CC9">
      <w:pPr>
        <w:pStyle w:val="FootnoteText"/>
      </w:pPr>
      <w:r>
        <w:rPr>
          <w:rStyle w:val="FootnoteReference"/>
        </w:rPr>
        <w:footnoteRef/>
      </w:r>
      <w:r>
        <w:t xml:space="preserve"> Michael </w:t>
      </w:r>
      <w:proofErr w:type="spellStart"/>
      <w:r>
        <w:t>Pocock</w:t>
      </w:r>
      <w:proofErr w:type="spellEnd"/>
      <w:r>
        <w:t xml:space="preserve"> comments, “the principal task of believers is to preach the gospel, teach new believers to obey all the commands of Christ</w:t>
      </w:r>
      <w:r w:rsidR="00235B0C">
        <w:t xml:space="preserve"> (Matt. 28:19-20), and participate fully in the formation and life of the body of Christ, His church</w:t>
      </w:r>
      <w:r>
        <w:t xml:space="preserve">…They are to ‘do good to all men…They are to obey and seek the good of governments and rulers…But believers in the present age will not attempt the overthrow of unjust governments or societies, or establish new ones </w:t>
      </w:r>
      <w:r>
        <w:rPr>
          <w:i/>
        </w:rPr>
        <w:t>as a church or as a part of its mission.</w:t>
      </w:r>
      <w:r>
        <w:t>”</w:t>
      </w:r>
      <w:r w:rsidR="00235B0C">
        <w:t xml:space="preserve"> </w:t>
      </w:r>
      <w:proofErr w:type="gramStart"/>
      <w:r w:rsidR="00235B0C">
        <w:t xml:space="preserve">Michael </w:t>
      </w:r>
      <w:proofErr w:type="spellStart"/>
      <w:r w:rsidR="00235B0C">
        <w:t>Pocock</w:t>
      </w:r>
      <w:proofErr w:type="spellEnd"/>
      <w:r w:rsidR="00235B0C">
        <w:t xml:space="preserve">, “The Destiny of the World and the Work of Missions” </w:t>
      </w:r>
      <w:r w:rsidR="00235B0C" w:rsidRPr="00235B0C">
        <w:rPr>
          <w:i/>
        </w:rPr>
        <w:t>Bibliotheca Sacra</w:t>
      </w:r>
      <w:r w:rsidR="004C77E6">
        <w:t xml:space="preserve"> (October-December 1988),</w:t>
      </w:r>
      <w:r w:rsidR="00235B0C">
        <w:t xml:space="preserve"> 446.</w:t>
      </w:r>
      <w:proofErr w:type="gramEnd"/>
      <w:r w:rsidR="000F0C05">
        <w:t xml:space="preserve">  Kevin De Young and Greg Gilbert in their recent book </w:t>
      </w:r>
      <w:proofErr w:type="gramStart"/>
      <w:r w:rsidR="000F0C05">
        <w:rPr>
          <w:i/>
        </w:rPr>
        <w:t>What</w:t>
      </w:r>
      <w:proofErr w:type="gramEnd"/>
      <w:r w:rsidR="000F0C05">
        <w:rPr>
          <w:i/>
        </w:rPr>
        <w:t xml:space="preserve"> Is the Mission of the Church? </w:t>
      </w:r>
      <w:proofErr w:type="gramStart"/>
      <w:r w:rsidR="000F0C05">
        <w:t>concur</w:t>
      </w:r>
      <w:proofErr w:type="gramEnd"/>
      <w:r w:rsidR="000F0C05">
        <w:t>, “We believe the church is sent into the world to witness to Jesus by proclaiming the gospel and making disciples of all nations.  This is our task.  This is our unique and central cal</w:t>
      </w:r>
      <w:r w:rsidR="004C77E6">
        <w:t xml:space="preserve">ling” (Wheaton: Crossway, 2011), </w:t>
      </w:r>
      <w:r w:rsidR="000F0C05">
        <w:t>26.</w:t>
      </w:r>
    </w:p>
  </w:footnote>
  <w:footnote w:id="61">
    <w:p w:rsidR="008C72C4" w:rsidRDefault="008C72C4">
      <w:pPr>
        <w:pStyle w:val="FootnoteText"/>
      </w:pPr>
      <w:r>
        <w:rPr>
          <w:rStyle w:val="FootnoteReference"/>
        </w:rPr>
        <w:footnoteRef/>
      </w:r>
      <w:r>
        <w:t xml:space="preserve"> Tony Evans, </w:t>
      </w:r>
      <w:r w:rsidRPr="004C77E6">
        <w:rPr>
          <w:i/>
        </w:rPr>
        <w:t>The kingdom Agenda</w:t>
      </w:r>
      <w:r>
        <w:t xml:space="preserve"> (Chicago:</w:t>
      </w:r>
      <w:r w:rsidR="004C77E6">
        <w:t xml:space="preserve"> Moody Publishers, 1999, 2006), </w:t>
      </w:r>
      <w:r>
        <w:t>12.</w:t>
      </w:r>
    </w:p>
  </w:footnote>
  <w:footnote w:id="62">
    <w:p w:rsidR="008C72C4" w:rsidRDefault="008C72C4">
      <w:pPr>
        <w:pStyle w:val="FootnoteText"/>
      </w:pPr>
      <w:r>
        <w:rPr>
          <w:rStyle w:val="FootnoteReference"/>
        </w:rPr>
        <w:footnoteRef/>
      </w:r>
      <w:r>
        <w:t xml:space="preserve"> Ibid.</w:t>
      </w:r>
    </w:p>
  </w:footnote>
  <w:footnote w:id="63">
    <w:p w:rsidR="008C72C4" w:rsidRDefault="008C72C4">
      <w:pPr>
        <w:pStyle w:val="FootnoteText"/>
      </w:pPr>
      <w:r>
        <w:rPr>
          <w:rStyle w:val="FootnoteReference"/>
        </w:rPr>
        <w:footnoteRef/>
      </w:r>
      <w:r w:rsidR="000C6D7F">
        <w:t xml:space="preserve"> </w:t>
      </w:r>
      <w:proofErr w:type="gramStart"/>
      <w:r w:rsidR="000C6D7F">
        <w:t>Ibid.,</w:t>
      </w:r>
      <w:proofErr w:type="gramEnd"/>
      <w:r>
        <w:t xml:space="preserve"> 27.</w:t>
      </w:r>
    </w:p>
  </w:footnote>
  <w:footnote w:id="64">
    <w:p w:rsidR="00921C4A" w:rsidRDefault="00921C4A">
      <w:pPr>
        <w:pStyle w:val="FootnoteText"/>
      </w:pPr>
      <w:r>
        <w:rPr>
          <w:rStyle w:val="FootnoteReference"/>
        </w:rPr>
        <w:footnoteRef/>
      </w:r>
      <w:r w:rsidR="000C6D7F">
        <w:t xml:space="preserve"> </w:t>
      </w:r>
      <w:proofErr w:type="gramStart"/>
      <w:r w:rsidR="000C6D7F">
        <w:t>Ibid.,</w:t>
      </w:r>
      <w:proofErr w:type="gramEnd"/>
      <w:r>
        <w:t xml:space="preserve"> 275.</w:t>
      </w:r>
    </w:p>
  </w:footnote>
  <w:footnote w:id="65">
    <w:p w:rsidR="00921C4A" w:rsidRDefault="00921C4A">
      <w:pPr>
        <w:pStyle w:val="FootnoteText"/>
      </w:pPr>
      <w:r>
        <w:rPr>
          <w:rStyle w:val="FootnoteReference"/>
        </w:rPr>
        <w:footnoteRef/>
      </w:r>
      <w:r w:rsidR="000C6D7F">
        <w:t xml:space="preserve"> </w:t>
      </w:r>
      <w:proofErr w:type="gramStart"/>
      <w:r w:rsidR="000C6D7F">
        <w:t>Ibid.,</w:t>
      </w:r>
      <w:proofErr w:type="gramEnd"/>
      <w:r>
        <w:t xml:space="preserve"> 286.</w:t>
      </w:r>
    </w:p>
  </w:footnote>
  <w:footnote w:id="66">
    <w:p w:rsidR="00921C4A" w:rsidRDefault="00921C4A">
      <w:pPr>
        <w:pStyle w:val="FootnoteText"/>
      </w:pPr>
      <w:r>
        <w:rPr>
          <w:rStyle w:val="FootnoteReference"/>
        </w:rPr>
        <w:footnoteRef/>
      </w:r>
      <w:r w:rsidR="000C6D7F">
        <w:t xml:space="preserve"> </w:t>
      </w:r>
      <w:proofErr w:type="gramStart"/>
      <w:r w:rsidR="000C6D7F">
        <w:t>Ibid.,</w:t>
      </w:r>
      <w:proofErr w:type="gramEnd"/>
      <w:r>
        <w:t xml:space="preserve"> 288.</w:t>
      </w:r>
    </w:p>
  </w:footnote>
  <w:footnote w:id="67">
    <w:p w:rsidR="00871A0E" w:rsidRDefault="00871A0E">
      <w:pPr>
        <w:pStyle w:val="FootnoteText"/>
      </w:pPr>
      <w:r>
        <w:rPr>
          <w:rStyle w:val="FootnoteReference"/>
        </w:rPr>
        <w:footnoteRef/>
      </w:r>
      <w:r>
        <w:t xml:space="preserve"> H. Wayne House provides a summary of the major positions held today in “The Future of National Israel” </w:t>
      </w:r>
      <w:r w:rsidRPr="00FC286D">
        <w:rPr>
          <w:i/>
        </w:rPr>
        <w:t>Bibliotheca Sacra</w:t>
      </w:r>
      <w:r>
        <w:t xml:space="preserve"> 166 (Oct</w:t>
      </w:r>
      <w:r w:rsidR="004C77E6">
        <w:t>ober-December 2009),</w:t>
      </w:r>
      <w:r>
        <w:t xml:space="preserve"> 463-81.</w:t>
      </w:r>
      <w:r w:rsidR="00CF30B2">
        <w:t xml:space="preserve">  See also Walter C. Kaiser, Jr., “An Evangelical Response” in </w:t>
      </w:r>
      <w:proofErr w:type="spellStart"/>
      <w:r w:rsidR="00CF30B2" w:rsidRPr="00CF30B2">
        <w:rPr>
          <w:i/>
        </w:rPr>
        <w:t>Dispensationalism</w:t>
      </w:r>
      <w:proofErr w:type="spellEnd"/>
      <w:r w:rsidR="00CF30B2" w:rsidRPr="00CF30B2">
        <w:rPr>
          <w:i/>
        </w:rPr>
        <w:t xml:space="preserve">, </w:t>
      </w:r>
      <w:proofErr w:type="gramStart"/>
      <w:r w:rsidR="00CF30B2" w:rsidRPr="00CF30B2">
        <w:rPr>
          <w:i/>
        </w:rPr>
        <w:t>Israel  and</w:t>
      </w:r>
      <w:proofErr w:type="gramEnd"/>
      <w:r w:rsidR="00CF30B2" w:rsidRPr="00CF30B2">
        <w:rPr>
          <w:i/>
        </w:rPr>
        <w:t xml:space="preserve"> the Church</w:t>
      </w:r>
      <w:r w:rsidR="004C77E6">
        <w:t>,</w:t>
      </w:r>
      <w:r w:rsidR="00CF30B2">
        <w:t xml:space="preserve"> 360-376.</w:t>
      </w:r>
      <w:r w:rsidR="00774B36">
        <w:t xml:space="preserve">  Kaiser sees five different methods for relating Israel and the church over the course of the Christian centuries which he labels as:  the replacement covenant – church has replaced Israel</w:t>
      </w:r>
      <w:r w:rsidR="00131410">
        <w:t>;</w:t>
      </w:r>
      <w:r w:rsidR="00774B36">
        <w:t xml:space="preserve"> the super covenant</w:t>
      </w:r>
      <w:r w:rsidR="00131410">
        <w:t xml:space="preserve"> – </w:t>
      </w:r>
      <w:r w:rsidR="00774B36">
        <w:t xml:space="preserve">Israel and the church are one and the same throughout history; the dual covenant – Jewish people are saved through the promise God left Abraham and do not need the gospel offered to the Gentiles which is a separate covenant; the separate covenant – Israel and the church have separate identities, promises and destinies; and the renewed covenant – there is one people with a number of </w:t>
      </w:r>
      <w:proofErr w:type="spellStart"/>
      <w:r w:rsidR="00774B36">
        <w:t>discernable</w:t>
      </w:r>
      <w:proofErr w:type="spellEnd"/>
      <w:r w:rsidR="00774B36">
        <w:t xml:space="preserve"> aspects within that one people such as Israel and the church (continuity and enlargement).</w:t>
      </w:r>
    </w:p>
  </w:footnote>
  <w:footnote w:id="68">
    <w:p w:rsidR="00F04D55" w:rsidRDefault="00F04D55">
      <w:pPr>
        <w:pStyle w:val="FootnoteText"/>
      </w:pPr>
      <w:r>
        <w:rPr>
          <w:rStyle w:val="FootnoteReference"/>
        </w:rPr>
        <w:footnoteRef/>
      </w:r>
      <w:r>
        <w:t xml:space="preserve"> Mitch Glaser, </w:t>
      </w:r>
      <w:r w:rsidRPr="00FE0976">
        <w:rPr>
          <w:i/>
        </w:rPr>
        <w:t>President’s Prayer Letter</w:t>
      </w:r>
      <w:r w:rsidR="00FE0976">
        <w:t xml:space="preserve"> (</w:t>
      </w:r>
      <w:r>
        <w:t>Chosen People Ministries, December 2011</w:t>
      </w:r>
      <w:r w:rsidR="00FE0976">
        <w:t>).</w:t>
      </w:r>
    </w:p>
  </w:footnote>
  <w:footnote w:id="69">
    <w:p w:rsidR="0092385A" w:rsidRDefault="0092385A">
      <w:pPr>
        <w:pStyle w:val="FootnoteText"/>
      </w:pPr>
      <w:r>
        <w:rPr>
          <w:rStyle w:val="FootnoteReference"/>
        </w:rPr>
        <w:footnoteRef/>
      </w:r>
      <w:r>
        <w:t xml:space="preserve"> Joseph C. </w:t>
      </w:r>
      <w:proofErr w:type="spellStart"/>
      <w:r>
        <w:t>Dillow</w:t>
      </w:r>
      <w:proofErr w:type="spellEnd"/>
      <w:r>
        <w:t xml:space="preserve">, </w:t>
      </w:r>
      <w:r w:rsidRPr="0092385A">
        <w:rPr>
          <w:i/>
        </w:rPr>
        <w:t>The Reign of the Servant Kings</w:t>
      </w:r>
      <w:r>
        <w:t xml:space="preserve"> (Hayesville, NC: </w:t>
      </w:r>
      <w:proofErr w:type="spellStart"/>
      <w:r>
        <w:t>Schoettle</w:t>
      </w:r>
      <w:proofErr w:type="spellEnd"/>
      <w:r>
        <w:t xml:space="preserve"> Publis</w:t>
      </w:r>
      <w:r w:rsidR="004C77E6">
        <w:t xml:space="preserve">hing Co., 2006, Third Printing), </w:t>
      </w:r>
      <w:r>
        <w:t>605.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81F41"/>
    <w:multiLevelType w:val="hybridMultilevel"/>
    <w:tmpl w:val="E434299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87D534D"/>
    <w:multiLevelType w:val="hybridMultilevel"/>
    <w:tmpl w:val="513AA9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90322F"/>
    <w:multiLevelType w:val="hybridMultilevel"/>
    <w:tmpl w:val="8D5C9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DC6EC1"/>
    <w:multiLevelType w:val="hybridMultilevel"/>
    <w:tmpl w:val="4482B210"/>
    <w:lvl w:ilvl="0" w:tplc="C6A6805E">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F66C94"/>
    <w:multiLevelType w:val="hybridMultilevel"/>
    <w:tmpl w:val="7BAACDA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7D3505"/>
    <w:multiLevelType w:val="hybridMultilevel"/>
    <w:tmpl w:val="E6E805F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22D5723"/>
    <w:multiLevelType w:val="hybridMultilevel"/>
    <w:tmpl w:val="B5E81F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50E6DFE"/>
    <w:multiLevelType w:val="hybridMultilevel"/>
    <w:tmpl w:val="A18AA6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F1D770B"/>
    <w:multiLevelType w:val="hybridMultilevel"/>
    <w:tmpl w:val="A18AA6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A137FAB"/>
    <w:multiLevelType w:val="hybridMultilevel"/>
    <w:tmpl w:val="20F0EB9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num w:numId="1">
    <w:abstractNumId w:val="7"/>
  </w:num>
  <w:num w:numId="2">
    <w:abstractNumId w:val="2"/>
  </w:num>
  <w:num w:numId="3">
    <w:abstractNumId w:val="5"/>
  </w:num>
  <w:num w:numId="4">
    <w:abstractNumId w:val="3"/>
  </w:num>
  <w:num w:numId="5">
    <w:abstractNumId w:val="1"/>
  </w:num>
  <w:num w:numId="6">
    <w:abstractNumId w:val="6"/>
  </w:num>
  <w:num w:numId="7">
    <w:abstractNumId w:val="0"/>
  </w:num>
  <w:num w:numId="8">
    <w:abstractNumId w:val="4"/>
  </w:num>
  <w:num w:numId="9">
    <w:abstractNumId w:val="8"/>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8E4157"/>
    <w:rsid w:val="000154C7"/>
    <w:rsid w:val="00015BDB"/>
    <w:rsid w:val="000262CE"/>
    <w:rsid w:val="00034DD4"/>
    <w:rsid w:val="000577F0"/>
    <w:rsid w:val="000603D1"/>
    <w:rsid w:val="000646DE"/>
    <w:rsid w:val="00071075"/>
    <w:rsid w:val="00073C96"/>
    <w:rsid w:val="00076AC4"/>
    <w:rsid w:val="000851E0"/>
    <w:rsid w:val="00085B57"/>
    <w:rsid w:val="000A0A2C"/>
    <w:rsid w:val="000A2290"/>
    <w:rsid w:val="000B2495"/>
    <w:rsid w:val="000B4875"/>
    <w:rsid w:val="000B5199"/>
    <w:rsid w:val="000C6D7F"/>
    <w:rsid w:val="000D370F"/>
    <w:rsid w:val="000D5170"/>
    <w:rsid w:val="000E5595"/>
    <w:rsid w:val="000E55D2"/>
    <w:rsid w:val="000F0C05"/>
    <w:rsid w:val="000F665D"/>
    <w:rsid w:val="00105014"/>
    <w:rsid w:val="00111FBB"/>
    <w:rsid w:val="00112982"/>
    <w:rsid w:val="00131410"/>
    <w:rsid w:val="00131C13"/>
    <w:rsid w:val="00144013"/>
    <w:rsid w:val="00150721"/>
    <w:rsid w:val="001709D4"/>
    <w:rsid w:val="00172622"/>
    <w:rsid w:val="00172B55"/>
    <w:rsid w:val="001753A4"/>
    <w:rsid w:val="00177554"/>
    <w:rsid w:val="00177CCA"/>
    <w:rsid w:val="001805AD"/>
    <w:rsid w:val="0019227B"/>
    <w:rsid w:val="001A5199"/>
    <w:rsid w:val="001B3784"/>
    <w:rsid w:val="001C0F95"/>
    <w:rsid w:val="001C3B26"/>
    <w:rsid w:val="001D0C84"/>
    <w:rsid w:val="001D1569"/>
    <w:rsid w:val="001D682F"/>
    <w:rsid w:val="001D7063"/>
    <w:rsid w:val="001D79C4"/>
    <w:rsid w:val="001E37A1"/>
    <w:rsid w:val="001F7476"/>
    <w:rsid w:val="00202898"/>
    <w:rsid w:val="00215E8E"/>
    <w:rsid w:val="0022510D"/>
    <w:rsid w:val="00231ABB"/>
    <w:rsid w:val="00235B0C"/>
    <w:rsid w:val="00240ABF"/>
    <w:rsid w:val="00240B9E"/>
    <w:rsid w:val="002431B1"/>
    <w:rsid w:val="002446CB"/>
    <w:rsid w:val="00246EB5"/>
    <w:rsid w:val="00253873"/>
    <w:rsid w:val="00266A13"/>
    <w:rsid w:val="002716C9"/>
    <w:rsid w:val="002740F5"/>
    <w:rsid w:val="0027460A"/>
    <w:rsid w:val="00282945"/>
    <w:rsid w:val="0028747D"/>
    <w:rsid w:val="0029137C"/>
    <w:rsid w:val="002B1AAD"/>
    <w:rsid w:val="002B37E5"/>
    <w:rsid w:val="002C7FEC"/>
    <w:rsid w:val="002D66A5"/>
    <w:rsid w:val="002E0DEF"/>
    <w:rsid w:val="002E14E4"/>
    <w:rsid w:val="002E3470"/>
    <w:rsid w:val="002E605D"/>
    <w:rsid w:val="002F397A"/>
    <w:rsid w:val="0030149F"/>
    <w:rsid w:val="003114C2"/>
    <w:rsid w:val="003151BC"/>
    <w:rsid w:val="003159E9"/>
    <w:rsid w:val="00315DF9"/>
    <w:rsid w:val="003556A7"/>
    <w:rsid w:val="00364A4A"/>
    <w:rsid w:val="00373ABD"/>
    <w:rsid w:val="0037657E"/>
    <w:rsid w:val="003952FD"/>
    <w:rsid w:val="003A45CD"/>
    <w:rsid w:val="003C7BEF"/>
    <w:rsid w:val="003D2BAB"/>
    <w:rsid w:val="003D3819"/>
    <w:rsid w:val="003D668B"/>
    <w:rsid w:val="003D6E5F"/>
    <w:rsid w:val="003F652A"/>
    <w:rsid w:val="00412C21"/>
    <w:rsid w:val="00414E5A"/>
    <w:rsid w:val="00426569"/>
    <w:rsid w:val="0044357F"/>
    <w:rsid w:val="00447BC8"/>
    <w:rsid w:val="004517DD"/>
    <w:rsid w:val="00477A44"/>
    <w:rsid w:val="004956EA"/>
    <w:rsid w:val="004A3E54"/>
    <w:rsid w:val="004B4B13"/>
    <w:rsid w:val="004B7ADD"/>
    <w:rsid w:val="004C071B"/>
    <w:rsid w:val="004C2137"/>
    <w:rsid w:val="004C779A"/>
    <w:rsid w:val="004C77E6"/>
    <w:rsid w:val="004D485F"/>
    <w:rsid w:val="004E1414"/>
    <w:rsid w:val="004E250F"/>
    <w:rsid w:val="004E28C4"/>
    <w:rsid w:val="004F37A8"/>
    <w:rsid w:val="005130CB"/>
    <w:rsid w:val="0051385A"/>
    <w:rsid w:val="0052218D"/>
    <w:rsid w:val="00525797"/>
    <w:rsid w:val="005266FA"/>
    <w:rsid w:val="00545DCD"/>
    <w:rsid w:val="00551700"/>
    <w:rsid w:val="005564EA"/>
    <w:rsid w:val="0056550C"/>
    <w:rsid w:val="00565555"/>
    <w:rsid w:val="00581CDD"/>
    <w:rsid w:val="00582BFF"/>
    <w:rsid w:val="00583D09"/>
    <w:rsid w:val="005856F0"/>
    <w:rsid w:val="005B0548"/>
    <w:rsid w:val="005C3603"/>
    <w:rsid w:val="005D757D"/>
    <w:rsid w:val="005D78F6"/>
    <w:rsid w:val="005E79F7"/>
    <w:rsid w:val="006023FB"/>
    <w:rsid w:val="00623D79"/>
    <w:rsid w:val="00630543"/>
    <w:rsid w:val="00630CC9"/>
    <w:rsid w:val="00657A6B"/>
    <w:rsid w:val="006602DE"/>
    <w:rsid w:val="006756B6"/>
    <w:rsid w:val="00680370"/>
    <w:rsid w:val="006935A6"/>
    <w:rsid w:val="00694B2A"/>
    <w:rsid w:val="00697104"/>
    <w:rsid w:val="006A3F9A"/>
    <w:rsid w:val="006B19C0"/>
    <w:rsid w:val="006B2C07"/>
    <w:rsid w:val="006B5E1C"/>
    <w:rsid w:val="006E54E7"/>
    <w:rsid w:val="006F08A6"/>
    <w:rsid w:val="006F33D6"/>
    <w:rsid w:val="006F4CE4"/>
    <w:rsid w:val="00712745"/>
    <w:rsid w:val="00714BB3"/>
    <w:rsid w:val="00716CF1"/>
    <w:rsid w:val="0073091A"/>
    <w:rsid w:val="007368DC"/>
    <w:rsid w:val="00744C57"/>
    <w:rsid w:val="00745D72"/>
    <w:rsid w:val="007504B1"/>
    <w:rsid w:val="00751FA2"/>
    <w:rsid w:val="0077269E"/>
    <w:rsid w:val="00772DAD"/>
    <w:rsid w:val="0077359F"/>
    <w:rsid w:val="00774B36"/>
    <w:rsid w:val="00780AA1"/>
    <w:rsid w:val="00786FA7"/>
    <w:rsid w:val="00790B0B"/>
    <w:rsid w:val="007912E2"/>
    <w:rsid w:val="00796026"/>
    <w:rsid w:val="007974B1"/>
    <w:rsid w:val="00797F9C"/>
    <w:rsid w:val="007B4012"/>
    <w:rsid w:val="007B6E73"/>
    <w:rsid w:val="007C39ED"/>
    <w:rsid w:val="007D4FCC"/>
    <w:rsid w:val="007E6A62"/>
    <w:rsid w:val="007E7BF7"/>
    <w:rsid w:val="007F436A"/>
    <w:rsid w:val="007F5A14"/>
    <w:rsid w:val="00800E47"/>
    <w:rsid w:val="008064C9"/>
    <w:rsid w:val="00811200"/>
    <w:rsid w:val="00815E4A"/>
    <w:rsid w:val="00815EED"/>
    <w:rsid w:val="0081691B"/>
    <w:rsid w:val="00835FCC"/>
    <w:rsid w:val="00837839"/>
    <w:rsid w:val="00844D8D"/>
    <w:rsid w:val="008456DD"/>
    <w:rsid w:val="00857456"/>
    <w:rsid w:val="0086284C"/>
    <w:rsid w:val="00871A0E"/>
    <w:rsid w:val="008813D1"/>
    <w:rsid w:val="008909FE"/>
    <w:rsid w:val="00893E59"/>
    <w:rsid w:val="0089716E"/>
    <w:rsid w:val="008B4E00"/>
    <w:rsid w:val="008C72C4"/>
    <w:rsid w:val="008C7D00"/>
    <w:rsid w:val="008D01FC"/>
    <w:rsid w:val="008D236D"/>
    <w:rsid w:val="008E4157"/>
    <w:rsid w:val="008F3A71"/>
    <w:rsid w:val="00911978"/>
    <w:rsid w:val="009202A9"/>
    <w:rsid w:val="00921C4A"/>
    <w:rsid w:val="0092385A"/>
    <w:rsid w:val="00926301"/>
    <w:rsid w:val="00927149"/>
    <w:rsid w:val="009335F6"/>
    <w:rsid w:val="00935574"/>
    <w:rsid w:val="00936350"/>
    <w:rsid w:val="009373ED"/>
    <w:rsid w:val="00950320"/>
    <w:rsid w:val="00956CBB"/>
    <w:rsid w:val="0096746D"/>
    <w:rsid w:val="00970C09"/>
    <w:rsid w:val="009839C3"/>
    <w:rsid w:val="009A7B6E"/>
    <w:rsid w:val="009E465B"/>
    <w:rsid w:val="009F4E9A"/>
    <w:rsid w:val="00A02C11"/>
    <w:rsid w:val="00A0430F"/>
    <w:rsid w:val="00A2307A"/>
    <w:rsid w:val="00A233C7"/>
    <w:rsid w:val="00A27F55"/>
    <w:rsid w:val="00A31003"/>
    <w:rsid w:val="00A3418B"/>
    <w:rsid w:val="00A43219"/>
    <w:rsid w:val="00A536AE"/>
    <w:rsid w:val="00A54114"/>
    <w:rsid w:val="00A65192"/>
    <w:rsid w:val="00A71DA0"/>
    <w:rsid w:val="00A82209"/>
    <w:rsid w:val="00A85CEB"/>
    <w:rsid w:val="00AA6CC0"/>
    <w:rsid w:val="00AA6EF4"/>
    <w:rsid w:val="00AB0D16"/>
    <w:rsid w:val="00AB164D"/>
    <w:rsid w:val="00AB3AA2"/>
    <w:rsid w:val="00AB3D63"/>
    <w:rsid w:val="00AB720B"/>
    <w:rsid w:val="00AC1B39"/>
    <w:rsid w:val="00AC1D85"/>
    <w:rsid w:val="00AC6267"/>
    <w:rsid w:val="00AD7A2A"/>
    <w:rsid w:val="00AE4D4A"/>
    <w:rsid w:val="00AF0A1B"/>
    <w:rsid w:val="00AF2054"/>
    <w:rsid w:val="00AF3212"/>
    <w:rsid w:val="00AF4010"/>
    <w:rsid w:val="00B00E55"/>
    <w:rsid w:val="00B14462"/>
    <w:rsid w:val="00B25A28"/>
    <w:rsid w:val="00B32F2B"/>
    <w:rsid w:val="00B333C5"/>
    <w:rsid w:val="00B40EA3"/>
    <w:rsid w:val="00B475D6"/>
    <w:rsid w:val="00B561AE"/>
    <w:rsid w:val="00B61E9E"/>
    <w:rsid w:val="00B65609"/>
    <w:rsid w:val="00B70843"/>
    <w:rsid w:val="00B71CFF"/>
    <w:rsid w:val="00B720BA"/>
    <w:rsid w:val="00B85D4E"/>
    <w:rsid w:val="00B97D75"/>
    <w:rsid w:val="00BD4DAD"/>
    <w:rsid w:val="00BE3034"/>
    <w:rsid w:val="00BF0F9B"/>
    <w:rsid w:val="00C1420B"/>
    <w:rsid w:val="00C219A6"/>
    <w:rsid w:val="00C21D89"/>
    <w:rsid w:val="00C27D5A"/>
    <w:rsid w:val="00C338F8"/>
    <w:rsid w:val="00C40453"/>
    <w:rsid w:val="00C4715A"/>
    <w:rsid w:val="00C47D77"/>
    <w:rsid w:val="00C67738"/>
    <w:rsid w:val="00C82B89"/>
    <w:rsid w:val="00C83E8C"/>
    <w:rsid w:val="00C872E1"/>
    <w:rsid w:val="00C909F6"/>
    <w:rsid w:val="00C951BC"/>
    <w:rsid w:val="00CA32AD"/>
    <w:rsid w:val="00CA5A9C"/>
    <w:rsid w:val="00CC2E7F"/>
    <w:rsid w:val="00CD38B2"/>
    <w:rsid w:val="00CE14F8"/>
    <w:rsid w:val="00CF2D1B"/>
    <w:rsid w:val="00CF30B2"/>
    <w:rsid w:val="00D1420B"/>
    <w:rsid w:val="00D25CB0"/>
    <w:rsid w:val="00D40E21"/>
    <w:rsid w:val="00D41431"/>
    <w:rsid w:val="00D4674D"/>
    <w:rsid w:val="00D5413E"/>
    <w:rsid w:val="00D60835"/>
    <w:rsid w:val="00D625AD"/>
    <w:rsid w:val="00D7112F"/>
    <w:rsid w:val="00D71502"/>
    <w:rsid w:val="00D77D5F"/>
    <w:rsid w:val="00D8188C"/>
    <w:rsid w:val="00D82646"/>
    <w:rsid w:val="00DB051D"/>
    <w:rsid w:val="00DB1264"/>
    <w:rsid w:val="00DD4E75"/>
    <w:rsid w:val="00DD554C"/>
    <w:rsid w:val="00DE249B"/>
    <w:rsid w:val="00DE25BB"/>
    <w:rsid w:val="00DF4A0C"/>
    <w:rsid w:val="00E13423"/>
    <w:rsid w:val="00E27B2B"/>
    <w:rsid w:val="00E3550B"/>
    <w:rsid w:val="00E36306"/>
    <w:rsid w:val="00E36BE8"/>
    <w:rsid w:val="00E408FD"/>
    <w:rsid w:val="00E53C63"/>
    <w:rsid w:val="00E65653"/>
    <w:rsid w:val="00E82797"/>
    <w:rsid w:val="00E86042"/>
    <w:rsid w:val="00E86CC6"/>
    <w:rsid w:val="00E9449B"/>
    <w:rsid w:val="00EA087D"/>
    <w:rsid w:val="00EB30FF"/>
    <w:rsid w:val="00EB5CEF"/>
    <w:rsid w:val="00EC1B43"/>
    <w:rsid w:val="00EC56E8"/>
    <w:rsid w:val="00ED0A4F"/>
    <w:rsid w:val="00ED38E5"/>
    <w:rsid w:val="00EE3891"/>
    <w:rsid w:val="00EE4011"/>
    <w:rsid w:val="00EF0DFB"/>
    <w:rsid w:val="00EF5425"/>
    <w:rsid w:val="00EF5989"/>
    <w:rsid w:val="00F048E5"/>
    <w:rsid w:val="00F04D55"/>
    <w:rsid w:val="00F056E2"/>
    <w:rsid w:val="00F1026F"/>
    <w:rsid w:val="00F1382B"/>
    <w:rsid w:val="00F139A1"/>
    <w:rsid w:val="00F235EF"/>
    <w:rsid w:val="00F40FF9"/>
    <w:rsid w:val="00F43E59"/>
    <w:rsid w:val="00F62884"/>
    <w:rsid w:val="00F70468"/>
    <w:rsid w:val="00F72EBF"/>
    <w:rsid w:val="00F760EA"/>
    <w:rsid w:val="00FA097D"/>
    <w:rsid w:val="00FA2813"/>
    <w:rsid w:val="00FB2D57"/>
    <w:rsid w:val="00FB5880"/>
    <w:rsid w:val="00FB6FFE"/>
    <w:rsid w:val="00FC286D"/>
    <w:rsid w:val="00FC52D9"/>
    <w:rsid w:val="00FC5351"/>
    <w:rsid w:val="00FD24E1"/>
    <w:rsid w:val="00FD3F62"/>
    <w:rsid w:val="00FD6842"/>
    <w:rsid w:val="00FE0976"/>
    <w:rsid w:val="00FE11FB"/>
    <w:rsid w:val="00FE62A8"/>
    <w:rsid w:val="00FF24AF"/>
    <w:rsid w:val="00FF4A8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4157"/>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3D63"/>
    <w:pPr>
      <w:ind w:left="720"/>
      <w:contextualSpacing/>
    </w:pPr>
  </w:style>
  <w:style w:type="character" w:customStyle="1" w:styleId="st">
    <w:name w:val="st"/>
    <w:basedOn w:val="DefaultParagraphFont"/>
    <w:rsid w:val="00582BFF"/>
  </w:style>
  <w:style w:type="character" w:styleId="Emphasis">
    <w:name w:val="Emphasis"/>
    <w:basedOn w:val="DefaultParagraphFont"/>
    <w:uiPriority w:val="20"/>
    <w:qFormat/>
    <w:rsid w:val="00582BFF"/>
    <w:rPr>
      <w:i/>
      <w:iCs/>
    </w:rPr>
  </w:style>
  <w:style w:type="paragraph" w:styleId="FootnoteText">
    <w:name w:val="footnote text"/>
    <w:basedOn w:val="Normal"/>
    <w:link w:val="FootnoteTextChar"/>
    <w:uiPriority w:val="99"/>
    <w:semiHidden/>
    <w:unhideWhenUsed/>
    <w:rsid w:val="00105014"/>
    <w:rPr>
      <w:sz w:val="20"/>
      <w:szCs w:val="20"/>
    </w:rPr>
  </w:style>
  <w:style w:type="character" w:customStyle="1" w:styleId="FootnoteTextChar">
    <w:name w:val="Footnote Text Char"/>
    <w:basedOn w:val="DefaultParagraphFont"/>
    <w:link w:val="FootnoteText"/>
    <w:uiPriority w:val="99"/>
    <w:semiHidden/>
    <w:rsid w:val="00105014"/>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05014"/>
    <w:rPr>
      <w:vertAlign w:val="superscript"/>
    </w:rPr>
  </w:style>
  <w:style w:type="paragraph" w:styleId="BalloonText">
    <w:name w:val="Balloon Text"/>
    <w:basedOn w:val="Normal"/>
    <w:link w:val="BalloonTextChar"/>
    <w:uiPriority w:val="99"/>
    <w:semiHidden/>
    <w:unhideWhenUsed/>
    <w:rsid w:val="001D7063"/>
    <w:rPr>
      <w:rFonts w:ascii="Tahoma" w:hAnsi="Tahoma" w:cs="Tahoma"/>
      <w:sz w:val="16"/>
      <w:szCs w:val="16"/>
    </w:rPr>
  </w:style>
  <w:style w:type="character" w:customStyle="1" w:styleId="BalloonTextChar">
    <w:name w:val="Balloon Text Char"/>
    <w:basedOn w:val="DefaultParagraphFont"/>
    <w:link w:val="BalloonText"/>
    <w:uiPriority w:val="99"/>
    <w:semiHidden/>
    <w:rsid w:val="001D7063"/>
    <w:rPr>
      <w:rFonts w:ascii="Tahoma" w:eastAsia="Times New Roman" w:hAnsi="Tahoma" w:cs="Tahoma"/>
      <w:sz w:val="16"/>
      <w:szCs w:val="16"/>
    </w:rPr>
  </w:style>
  <w:style w:type="character" w:styleId="Hyperlink">
    <w:name w:val="Hyperlink"/>
    <w:basedOn w:val="DefaultParagraphFont"/>
    <w:uiPriority w:val="99"/>
    <w:unhideWhenUsed/>
    <w:rsid w:val="00E9449B"/>
    <w:rPr>
      <w:color w:val="0000FF" w:themeColor="hyperlink"/>
      <w:u w:val="single"/>
    </w:rPr>
  </w:style>
  <w:style w:type="character" w:customStyle="1" w:styleId="citation">
    <w:name w:val="citation"/>
    <w:basedOn w:val="DefaultParagraphFont"/>
    <w:rsid w:val="00D8188C"/>
  </w:style>
  <w:style w:type="paragraph" w:styleId="NormalWeb">
    <w:name w:val="Normal (Web)"/>
    <w:basedOn w:val="Normal"/>
    <w:uiPriority w:val="99"/>
    <w:semiHidden/>
    <w:unhideWhenUsed/>
    <w:rsid w:val="005E79F7"/>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41241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gi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www.blueletterbible.org/faq/dispre.html" TargetMode="External"/><Relationship Id="rId3" Type="http://schemas.openxmlformats.org/officeDocument/2006/relationships/hyperlink" Target="http://65.175.91.69/Reformation_net/Pages/Kingdom_of_God_Commentary.htm" TargetMode="External"/><Relationship Id="rId7" Type="http://schemas.openxmlformats.org/officeDocument/2006/relationships/hyperlink" Target="http://20.sharperiron.org/showthread.php?t=941" TargetMode="External"/><Relationship Id="rId2" Type="http://schemas.openxmlformats.org/officeDocument/2006/relationships/hyperlink" Target="http://www.blueletterbible.org/faq/post.html" TargetMode="External"/><Relationship Id="rId1" Type="http://schemas.openxmlformats.org/officeDocument/2006/relationships/hyperlink" Target="http://www.blueletterbible.org/faq/nunc.html" TargetMode="External"/><Relationship Id="rId6" Type="http://schemas.openxmlformats.org/officeDocument/2006/relationships/hyperlink" Target="http://www.blueletterbible.org/faq/hispre.html" TargetMode="External"/><Relationship Id="rId5" Type="http://schemas.openxmlformats.org/officeDocument/2006/relationships/hyperlink" Target="http://theresponseusa.com/" TargetMode="External"/><Relationship Id="rId4" Type="http://schemas.openxmlformats.org/officeDocument/2006/relationships/hyperlink" Target="http://livingjourney.files.wordpress.com/2007/12/7m.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25D19D-B199-4767-BE25-5DD345A79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16978</TotalTime>
  <Pages>24</Pages>
  <Words>4879</Words>
  <Characters>27814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Philippe</dc:creator>
  <cp:keywords/>
  <dc:description/>
  <cp:lastModifiedBy>Philippe</cp:lastModifiedBy>
  <cp:revision>135</cp:revision>
  <cp:lastPrinted>2012-03-10T21:49:00Z</cp:lastPrinted>
  <dcterms:created xsi:type="dcterms:W3CDTF">2011-12-14T15:06:00Z</dcterms:created>
  <dcterms:modified xsi:type="dcterms:W3CDTF">2013-04-29T16:46:00Z</dcterms:modified>
</cp:coreProperties>
</file>